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87C1" w14:textId="1CABD011" w:rsidR="003031C2" w:rsidRPr="00696B5D" w:rsidRDefault="003031C2" w:rsidP="0014212D">
      <w:pPr>
        <w:spacing w:after="0" w:line="276" w:lineRule="auto"/>
        <w:rPr>
          <w:rFonts w:cstheme="minorHAnsi"/>
          <w:b/>
          <w:u w:val="single"/>
        </w:rPr>
      </w:pPr>
      <w:bookmarkStart w:id="0" w:name="_GoBack"/>
      <w:bookmarkEnd w:id="0"/>
    </w:p>
    <w:p w14:paraId="7C35D897" w14:textId="77777777" w:rsidR="00E31251" w:rsidRPr="00696B5D" w:rsidRDefault="00E31251" w:rsidP="00696B5D">
      <w:pPr>
        <w:spacing w:after="0" w:line="276" w:lineRule="auto"/>
        <w:jc w:val="center"/>
        <w:rPr>
          <w:rFonts w:cstheme="minorHAnsi"/>
          <w:b/>
          <w:u w:val="single"/>
        </w:rPr>
      </w:pPr>
    </w:p>
    <w:p w14:paraId="38C32532" w14:textId="65194913" w:rsidR="00E15493" w:rsidRPr="00696B5D" w:rsidRDefault="0014212D" w:rsidP="00696B5D">
      <w:pPr>
        <w:keepNext/>
        <w:keepLines/>
        <w:overflowPunct w:val="0"/>
        <w:autoSpaceDE w:val="0"/>
        <w:autoSpaceDN w:val="0"/>
        <w:adjustRightInd w:val="0"/>
        <w:spacing w:after="0" w:line="276" w:lineRule="auto"/>
        <w:jc w:val="center"/>
        <w:textAlignment w:val="baseline"/>
        <w:outlineLvl w:val="0"/>
        <w:rPr>
          <w:rFonts w:eastAsia="Times New Roman" w:cstheme="minorHAnsi"/>
          <w:b/>
          <w:bCs/>
          <w:u w:val="single"/>
        </w:rPr>
      </w:pPr>
      <w:bookmarkStart w:id="1" w:name="_Toc242096175"/>
      <w:bookmarkStart w:id="2" w:name="_Toc245526912"/>
      <w:r>
        <w:rPr>
          <w:rFonts w:eastAsia="Times New Roman" w:cstheme="minorHAnsi"/>
          <w:b/>
          <w:bCs/>
          <w:u w:val="single"/>
        </w:rPr>
        <w:t xml:space="preserve">TÜRK TELEKOM GRUBU İŞYERİ HEKİMLİĞİ, İŞ GÜVENLİĞİ UZMANLIĞI VE DİĞER SAĞLIK PERSONELİ HİZMET ALIM </w:t>
      </w:r>
      <w:r w:rsidR="00E15493" w:rsidRPr="00696B5D">
        <w:rPr>
          <w:rFonts w:eastAsia="Times New Roman" w:cstheme="minorHAnsi"/>
          <w:b/>
          <w:bCs/>
          <w:u w:val="single"/>
        </w:rPr>
        <w:t>SÖZLEŞMESİ</w:t>
      </w:r>
    </w:p>
    <w:p w14:paraId="3176D13F" w14:textId="77777777" w:rsidR="00E15493" w:rsidRPr="00696B5D" w:rsidRDefault="00E15493" w:rsidP="00696B5D">
      <w:pPr>
        <w:keepNext/>
        <w:keepLines/>
        <w:overflowPunct w:val="0"/>
        <w:autoSpaceDE w:val="0"/>
        <w:autoSpaceDN w:val="0"/>
        <w:adjustRightInd w:val="0"/>
        <w:spacing w:after="0" w:line="276" w:lineRule="auto"/>
        <w:ind w:left="360"/>
        <w:textAlignment w:val="baseline"/>
        <w:outlineLvl w:val="0"/>
        <w:rPr>
          <w:rFonts w:eastAsia="Times New Roman" w:cstheme="minorHAnsi"/>
          <w:b/>
          <w:bCs/>
        </w:rPr>
      </w:pPr>
    </w:p>
    <w:p w14:paraId="36462ECF" w14:textId="77777777" w:rsidR="00E15493" w:rsidRPr="00696B5D" w:rsidRDefault="00E15493" w:rsidP="00696B5D">
      <w:pPr>
        <w:keepNext/>
        <w:keepLines/>
        <w:numPr>
          <w:ilvl w:val="0"/>
          <w:numId w:val="3"/>
        </w:numPr>
        <w:tabs>
          <w:tab w:val="left" w:pos="709"/>
        </w:tabs>
        <w:overflowPunct w:val="0"/>
        <w:autoSpaceDE w:val="0"/>
        <w:autoSpaceDN w:val="0"/>
        <w:adjustRightInd w:val="0"/>
        <w:spacing w:after="0" w:line="276" w:lineRule="auto"/>
        <w:textAlignment w:val="baseline"/>
        <w:outlineLvl w:val="0"/>
        <w:rPr>
          <w:rFonts w:eastAsia="Times New Roman" w:cstheme="minorHAnsi"/>
          <w:b/>
          <w:bCs/>
        </w:rPr>
      </w:pPr>
      <w:r w:rsidRPr="00696B5D">
        <w:rPr>
          <w:rFonts w:eastAsia="Times New Roman" w:cstheme="minorHAnsi"/>
          <w:b/>
          <w:bCs/>
        </w:rPr>
        <w:t>TARAFLAR</w:t>
      </w:r>
      <w:bookmarkEnd w:id="1"/>
      <w:bookmarkEnd w:id="2"/>
    </w:p>
    <w:p w14:paraId="3D7E9BA2" w14:textId="65116FB7" w:rsidR="00E15493" w:rsidRPr="00696B5D" w:rsidRDefault="00E15493" w:rsidP="00696B5D">
      <w:pPr>
        <w:autoSpaceDE w:val="0"/>
        <w:autoSpaceDN w:val="0"/>
        <w:spacing w:before="240" w:after="240" w:line="276" w:lineRule="auto"/>
        <w:jc w:val="both"/>
        <w:rPr>
          <w:rFonts w:eastAsia="Times New Roman" w:cstheme="minorHAnsi"/>
          <w:b/>
          <w:lang w:val="en-US" w:eastAsia="tr-TR"/>
        </w:rPr>
      </w:pPr>
      <w:r w:rsidRPr="00696B5D">
        <w:rPr>
          <w:rFonts w:eastAsia="Times New Roman" w:cstheme="minorHAnsi"/>
          <w:snapToGrid w:val="0"/>
          <w:lang w:eastAsia="tr-TR"/>
        </w:rPr>
        <w:t>İşbu</w:t>
      </w:r>
      <w:r w:rsidR="0014212D">
        <w:rPr>
          <w:rFonts w:eastAsia="Times New Roman" w:cstheme="minorHAnsi"/>
          <w:snapToGrid w:val="0"/>
          <w:lang w:eastAsia="tr-TR"/>
        </w:rPr>
        <w:t xml:space="preserve"> Türk Telekom Grubu İşyeri Hekimliği, İş Güvenliği Uzmanlığı ve Diğer Sağlık Personeli Hizmet Alım </w:t>
      </w:r>
      <w:r w:rsidRPr="00696B5D">
        <w:rPr>
          <w:rFonts w:eastAsia="Times New Roman" w:cstheme="minorHAnsi"/>
          <w:snapToGrid w:val="0"/>
          <w:lang w:eastAsia="tr-TR"/>
        </w:rPr>
        <w:t xml:space="preserve"> Sözleşmesi </w:t>
      </w:r>
      <w:r w:rsidRPr="00696B5D">
        <w:rPr>
          <w:rFonts w:eastAsia="Times New Roman" w:cstheme="minorHAnsi"/>
          <w:lang w:val="en-US" w:eastAsia="tr-TR"/>
        </w:rPr>
        <w:t xml:space="preserve">(bundan sonra </w:t>
      </w:r>
      <w:r w:rsidRPr="00696B5D">
        <w:rPr>
          <w:rFonts w:eastAsia="Times New Roman" w:cstheme="minorHAnsi"/>
          <w:b/>
          <w:lang w:val="en-US" w:eastAsia="tr-TR"/>
        </w:rPr>
        <w:t>“Sözleşme”</w:t>
      </w:r>
      <w:r w:rsidRPr="00696B5D">
        <w:rPr>
          <w:rFonts w:eastAsia="Times New Roman" w:cstheme="minorHAnsi"/>
          <w:lang w:val="en-US" w:eastAsia="tr-TR"/>
        </w:rPr>
        <w:t xml:space="preserve"> olarak anılacaktır), bir tarafta </w:t>
      </w:r>
      <w:r w:rsidRPr="00696B5D">
        <w:rPr>
          <w:rFonts w:eastAsia="Times New Roman" w:cstheme="minorHAnsi"/>
          <w:b/>
          <w:lang w:val="en-US" w:eastAsia="tr-TR"/>
        </w:rPr>
        <w:t>TTNET A.Ş.</w:t>
      </w:r>
      <w:r w:rsidRPr="00696B5D">
        <w:rPr>
          <w:rFonts w:eastAsia="Times New Roman" w:cstheme="minorHAnsi"/>
          <w:lang w:val="en-US" w:eastAsia="tr-TR"/>
        </w:rPr>
        <w:t xml:space="preserve"> (bundan sonra </w:t>
      </w:r>
      <w:r w:rsidRPr="00696B5D">
        <w:rPr>
          <w:rFonts w:eastAsia="Times New Roman" w:cstheme="minorHAnsi"/>
          <w:b/>
          <w:lang w:val="en-US" w:eastAsia="tr-TR"/>
        </w:rPr>
        <w:t>“TTNET”</w:t>
      </w:r>
      <w:r w:rsidRPr="00696B5D">
        <w:rPr>
          <w:rFonts w:eastAsia="Times New Roman" w:cstheme="minorHAnsi"/>
          <w:lang w:val="en-US" w:eastAsia="tr-TR"/>
        </w:rPr>
        <w:t xml:space="preserve"> olarak anılacaktır) ve </w:t>
      </w:r>
      <w:r w:rsidRPr="00696B5D">
        <w:rPr>
          <w:rFonts w:eastAsia="Times New Roman" w:cstheme="minorHAnsi"/>
          <w:b/>
          <w:lang w:val="en-US" w:eastAsia="tr-TR"/>
        </w:rPr>
        <w:t>TÜRK TELEKOMÜNİKASYON A.Ş.</w:t>
      </w:r>
      <w:r w:rsidRPr="00696B5D">
        <w:rPr>
          <w:rFonts w:eastAsia="Times New Roman" w:cstheme="minorHAnsi"/>
          <w:lang w:val="en-US" w:eastAsia="tr-TR"/>
        </w:rPr>
        <w:t xml:space="preserve"> (bundan sonra </w:t>
      </w:r>
      <w:r w:rsidRPr="00696B5D">
        <w:rPr>
          <w:rFonts w:eastAsia="Times New Roman" w:cstheme="minorHAnsi"/>
          <w:b/>
          <w:lang w:val="en-US" w:eastAsia="tr-TR"/>
        </w:rPr>
        <w:t>"TÜRK TELEKOM"</w:t>
      </w:r>
      <w:r w:rsidRPr="00696B5D">
        <w:rPr>
          <w:rFonts w:eastAsia="Times New Roman" w:cstheme="minorHAnsi"/>
          <w:lang w:val="en-US" w:eastAsia="tr-TR"/>
        </w:rPr>
        <w:t xml:space="preserve"> olarak anılacaktır) ve </w:t>
      </w:r>
      <w:r w:rsidR="00594B2F" w:rsidRPr="00696B5D">
        <w:rPr>
          <w:rFonts w:eastAsia="Times New Roman" w:cstheme="minorHAnsi"/>
          <w:b/>
          <w:lang w:val="en-US" w:eastAsia="tr-TR"/>
        </w:rPr>
        <w:t>TT MOBİL</w:t>
      </w:r>
      <w:r w:rsidRPr="00696B5D">
        <w:rPr>
          <w:rFonts w:eastAsia="Times New Roman" w:cstheme="minorHAnsi"/>
          <w:b/>
          <w:lang w:val="en-US" w:eastAsia="tr-TR"/>
        </w:rPr>
        <w:t xml:space="preserve"> İLETİŞİM HİZMETLERİ A.Ş. </w:t>
      </w:r>
      <w:r w:rsidRPr="00696B5D">
        <w:rPr>
          <w:rFonts w:eastAsia="Times New Roman" w:cstheme="minorHAnsi"/>
          <w:lang w:val="en-US" w:eastAsia="tr-TR"/>
        </w:rPr>
        <w:t xml:space="preserve">(bundan sonra </w:t>
      </w:r>
      <w:r w:rsidRPr="00696B5D">
        <w:rPr>
          <w:rFonts w:eastAsia="Times New Roman" w:cstheme="minorHAnsi"/>
          <w:b/>
          <w:lang w:val="en-US" w:eastAsia="tr-TR"/>
        </w:rPr>
        <w:t>"</w:t>
      </w:r>
      <w:r w:rsidR="00594B2F" w:rsidRPr="00696B5D">
        <w:rPr>
          <w:rFonts w:eastAsia="Times New Roman" w:cstheme="minorHAnsi"/>
          <w:b/>
          <w:lang w:val="en-US" w:eastAsia="tr-TR"/>
        </w:rPr>
        <w:t>TT MOBİL</w:t>
      </w:r>
      <w:r w:rsidRPr="00696B5D">
        <w:rPr>
          <w:rFonts w:eastAsia="Times New Roman" w:cstheme="minorHAnsi"/>
          <w:b/>
          <w:lang w:val="en-US" w:eastAsia="tr-TR"/>
        </w:rPr>
        <w:t>"</w:t>
      </w:r>
      <w:r w:rsidRPr="00696B5D">
        <w:rPr>
          <w:rFonts w:eastAsia="Times New Roman" w:cstheme="minorHAnsi"/>
          <w:lang w:val="en-US" w:eastAsia="tr-TR"/>
        </w:rPr>
        <w:t xml:space="preserve"> olarak anılacaktır.) ile diğer tarafta ........................................................... (bundan sonra </w:t>
      </w:r>
      <w:r w:rsidRPr="00696B5D">
        <w:rPr>
          <w:rFonts w:eastAsia="Times New Roman" w:cstheme="minorHAnsi"/>
          <w:b/>
          <w:lang w:val="en-US" w:eastAsia="tr-TR"/>
        </w:rPr>
        <w:t>“Yüklenici”</w:t>
      </w:r>
      <w:r w:rsidRPr="00696B5D">
        <w:rPr>
          <w:rFonts w:eastAsia="Times New Roman" w:cstheme="minorHAnsi"/>
          <w:lang w:val="en-US" w:eastAsia="tr-TR"/>
        </w:rPr>
        <w:t xml:space="preserve"> olarak anılacaktır) arasında aşağıda yazılı şartlar dahilinde akdedilmiştir.</w:t>
      </w:r>
    </w:p>
    <w:p w14:paraId="6C9F5AF0" w14:textId="189C616C" w:rsidR="0014212D" w:rsidRPr="00696B5D" w:rsidRDefault="00E15493" w:rsidP="00696B5D">
      <w:pPr>
        <w:autoSpaceDE w:val="0"/>
        <w:autoSpaceDN w:val="0"/>
        <w:spacing w:before="240" w:after="240" w:line="276" w:lineRule="auto"/>
        <w:jc w:val="both"/>
        <w:rPr>
          <w:rFonts w:eastAsia="Times New Roman" w:cstheme="minorHAnsi"/>
          <w:lang w:val="en-US" w:eastAsia="tr-TR"/>
        </w:rPr>
      </w:pPr>
      <w:r w:rsidRPr="00696B5D">
        <w:rPr>
          <w:rFonts w:eastAsia="Times New Roman" w:cstheme="minorHAnsi"/>
          <w:lang w:val="en-US" w:eastAsia="tr-TR"/>
        </w:rPr>
        <w:t xml:space="preserve">İşbu Sözleşme kapsamında TÜRK TELEKOM, TTNET ve </w:t>
      </w:r>
      <w:r w:rsidR="00225F5B" w:rsidRPr="00696B5D">
        <w:rPr>
          <w:rFonts w:eastAsia="Times New Roman" w:cstheme="minorHAnsi"/>
          <w:lang w:val="en-US" w:eastAsia="tr-TR"/>
        </w:rPr>
        <w:t>TT MOBİL</w:t>
      </w:r>
      <w:r w:rsidRPr="00696B5D">
        <w:rPr>
          <w:rFonts w:eastAsia="Times New Roman" w:cstheme="minorHAnsi"/>
          <w:lang w:val="en-US" w:eastAsia="tr-TR"/>
        </w:rPr>
        <w:t xml:space="preserve"> ayrı ayrı “Grup Şirketi”, birlikte “Grup Şirketleri” veya “TTG”; TTG ve Yüklenici ayrı ayrı “Taraf”, TTG ile Yüklenici birlikte “Taraflar” olarak anılacaktır. </w:t>
      </w:r>
    </w:p>
    <w:tbl>
      <w:tblPr>
        <w:tblStyle w:val="TableGrid"/>
        <w:tblW w:w="0" w:type="auto"/>
        <w:tblInd w:w="108" w:type="dxa"/>
        <w:tblLook w:val="04A0" w:firstRow="1" w:lastRow="0" w:firstColumn="1" w:lastColumn="0" w:noHBand="0" w:noVBand="1"/>
      </w:tblPr>
      <w:tblGrid>
        <w:gridCol w:w="4620"/>
        <w:gridCol w:w="4622"/>
      </w:tblGrid>
      <w:tr w:rsidR="00E15493" w:rsidRPr="00696B5D" w14:paraId="202D0A56" w14:textId="77777777" w:rsidTr="00E43D8B">
        <w:tc>
          <w:tcPr>
            <w:tcW w:w="4680" w:type="dxa"/>
          </w:tcPr>
          <w:p w14:paraId="5EEA5A1A" w14:textId="77777777" w:rsidR="00E15493" w:rsidRPr="00696B5D" w:rsidRDefault="00E15493" w:rsidP="00696B5D">
            <w:pPr>
              <w:spacing w:line="276" w:lineRule="auto"/>
              <w:jc w:val="both"/>
              <w:rPr>
                <w:rFonts w:cstheme="minorHAnsi"/>
              </w:rPr>
            </w:pPr>
            <w:r w:rsidRPr="00696B5D">
              <w:rPr>
                <w:rFonts w:cstheme="minorHAnsi"/>
                <w:b/>
              </w:rPr>
              <w:t>TÜRK TELEKOM</w:t>
            </w:r>
            <w:r w:rsidRPr="00696B5D">
              <w:rPr>
                <w:rFonts w:cstheme="minorHAnsi"/>
              </w:rPr>
              <w:t>’un Adresi</w:t>
            </w:r>
          </w:p>
        </w:tc>
        <w:tc>
          <w:tcPr>
            <w:tcW w:w="4676" w:type="dxa"/>
          </w:tcPr>
          <w:p w14:paraId="5F8F86A3" w14:textId="77777777" w:rsidR="00E15493" w:rsidRPr="00696B5D" w:rsidRDefault="00E15493" w:rsidP="00696B5D">
            <w:pPr>
              <w:spacing w:line="276" w:lineRule="auto"/>
              <w:jc w:val="both"/>
              <w:rPr>
                <w:rFonts w:cstheme="minorHAnsi"/>
              </w:rPr>
            </w:pPr>
            <w:r w:rsidRPr="00696B5D">
              <w:rPr>
                <w:rFonts w:cstheme="minorHAnsi"/>
              </w:rPr>
              <w:t>Türk Telekom Genel Müdürlüğü Yıldız Posta Caddesi No:40 Gayrettepe-İstanbul</w:t>
            </w:r>
          </w:p>
        </w:tc>
      </w:tr>
      <w:tr w:rsidR="00E15493" w:rsidRPr="00696B5D" w14:paraId="61B3EE88" w14:textId="77777777" w:rsidTr="00E43D8B">
        <w:tc>
          <w:tcPr>
            <w:tcW w:w="4680" w:type="dxa"/>
          </w:tcPr>
          <w:p w14:paraId="7AF24707" w14:textId="77777777" w:rsidR="00E15493" w:rsidRPr="00696B5D" w:rsidRDefault="00E15493" w:rsidP="00696B5D">
            <w:pPr>
              <w:spacing w:line="276" w:lineRule="auto"/>
              <w:jc w:val="both"/>
              <w:rPr>
                <w:rFonts w:cstheme="minorHAnsi"/>
              </w:rPr>
            </w:pPr>
            <w:r w:rsidRPr="00696B5D">
              <w:rPr>
                <w:rFonts w:cstheme="minorHAnsi"/>
              </w:rPr>
              <w:t>Telefon</w:t>
            </w:r>
          </w:p>
        </w:tc>
        <w:tc>
          <w:tcPr>
            <w:tcW w:w="4676" w:type="dxa"/>
          </w:tcPr>
          <w:p w14:paraId="3B9BC3D1" w14:textId="77777777" w:rsidR="00E15493" w:rsidRPr="00696B5D" w:rsidRDefault="00E15493" w:rsidP="00696B5D">
            <w:pPr>
              <w:spacing w:line="276" w:lineRule="auto"/>
              <w:jc w:val="both"/>
              <w:rPr>
                <w:rFonts w:cstheme="minorHAnsi"/>
              </w:rPr>
            </w:pPr>
          </w:p>
        </w:tc>
      </w:tr>
      <w:tr w:rsidR="00E15493" w:rsidRPr="00696B5D" w14:paraId="5DE9D2AE" w14:textId="77777777" w:rsidTr="00E43D8B">
        <w:tc>
          <w:tcPr>
            <w:tcW w:w="4680" w:type="dxa"/>
          </w:tcPr>
          <w:p w14:paraId="4ED2CDCB" w14:textId="77777777" w:rsidR="00E15493" w:rsidRPr="00696B5D" w:rsidRDefault="00E15493" w:rsidP="00696B5D">
            <w:pPr>
              <w:spacing w:line="276" w:lineRule="auto"/>
              <w:jc w:val="both"/>
              <w:rPr>
                <w:rFonts w:cstheme="minorHAnsi"/>
              </w:rPr>
            </w:pPr>
            <w:r w:rsidRPr="00696B5D">
              <w:rPr>
                <w:rFonts w:cstheme="minorHAnsi"/>
              </w:rPr>
              <w:t>E-Posta Adresi</w:t>
            </w:r>
          </w:p>
        </w:tc>
        <w:tc>
          <w:tcPr>
            <w:tcW w:w="4676" w:type="dxa"/>
          </w:tcPr>
          <w:p w14:paraId="082DBE4A" w14:textId="77777777" w:rsidR="00E15493" w:rsidRPr="00696B5D" w:rsidRDefault="00E15493" w:rsidP="00696B5D">
            <w:pPr>
              <w:spacing w:line="276" w:lineRule="auto"/>
              <w:jc w:val="both"/>
              <w:rPr>
                <w:rFonts w:cstheme="minorHAnsi"/>
              </w:rPr>
            </w:pPr>
          </w:p>
        </w:tc>
      </w:tr>
      <w:tr w:rsidR="00E15493" w:rsidRPr="00696B5D" w14:paraId="4C67E3B8" w14:textId="77777777" w:rsidTr="00E43D8B">
        <w:tc>
          <w:tcPr>
            <w:tcW w:w="9356" w:type="dxa"/>
            <w:gridSpan w:val="2"/>
          </w:tcPr>
          <w:p w14:paraId="6E444715" w14:textId="77777777" w:rsidR="00E15493" w:rsidRPr="00696B5D" w:rsidRDefault="00E15493" w:rsidP="00696B5D">
            <w:pPr>
              <w:spacing w:line="276" w:lineRule="auto"/>
              <w:jc w:val="both"/>
              <w:rPr>
                <w:rFonts w:cstheme="minorHAnsi"/>
              </w:rPr>
            </w:pPr>
          </w:p>
        </w:tc>
      </w:tr>
      <w:tr w:rsidR="00E15493" w:rsidRPr="00696B5D" w14:paraId="42BF8447" w14:textId="77777777" w:rsidTr="00E43D8B">
        <w:tc>
          <w:tcPr>
            <w:tcW w:w="4680" w:type="dxa"/>
          </w:tcPr>
          <w:p w14:paraId="4897E3AF" w14:textId="3A07B8A3" w:rsidR="00E15493" w:rsidRPr="00696B5D" w:rsidRDefault="00E15493" w:rsidP="00696B5D">
            <w:pPr>
              <w:spacing w:line="276" w:lineRule="auto"/>
              <w:jc w:val="both"/>
              <w:rPr>
                <w:rFonts w:cstheme="minorHAnsi"/>
              </w:rPr>
            </w:pPr>
            <w:r w:rsidRPr="00696B5D">
              <w:rPr>
                <w:rFonts w:cstheme="minorHAnsi"/>
                <w:b/>
              </w:rPr>
              <w:t>TTNET</w:t>
            </w:r>
            <w:r w:rsidRPr="00696B5D">
              <w:rPr>
                <w:rFonts w:cstheme="minorHAnsi"/>
              </w:rPr>
              <w:t>’in Adresi</w:t>
            </w:r>
          </w:p>
        </w:tc>
        <w:tc>
          <w:tcPr>
            <w:tcW w:w="4676" w:type="dxa"/>
          </w:tcPr>
          <w:p w14:paraId="06068240" w14:textId="19CE47DA" w:rsidR="00E15493" w:rsidRPr="00696B5D" w:rsidRDefault="008A1B94" w:rsidP="00696B5D">
            <w:pPr>
              <w:spacing w:line="276" w:lineRule="auto"/>
              <w:jc w:val="both"/>
              <w:rPr>
                <w:rFonts w:cstheme="minorHAnsi"/>
              </w:rPr>
            </w:pPr>
            <w:r w:rsidRPr="006F31BB">
              <w:rPr>
                <w:rFonts w:ascii="Calibri" w:hAnsi="Calibri" w:cs="Arial"/>
                <w:lang w:val="en-US"/>
              </w:rPr>
              <w:t>Gayrettepe Mahallesi, Vefa Bayırı Sokak, No:2 Kat:3 Beşiktaş/İstanbul</w:t>
            </w:r>
          </w:p>
        </w:tc>
      </w:tr>
      <w:tr w:rsidR="00E15493" w:rsidRPr="00696B5D" w14:paraId="4D204204" w14:textId="77777777" w:rsidTr="00E43D8B">
        <w:tc>
          <w:tcPr>
            <w:tcW w:w="4680" w:type="dxa"/>
          </w:tcPr>
          <w:p w14:paraId="48426605" w14:textId="77777777" w:rsidR="00E15493" w:rsidRPr="00696B5D" w:rsidRDefault="00E15493" w:rsidP="00696B5D">
            <w:pPr>
              <w:spacing w:line="276" w:lineRule="auto"/>
              <w:jc w:val="both"/>
              <w:rPr>
                <w:rFonts w:cstheme="minorHAnsi"/>
              </w:rPr>
            </w:pPr>
            <w:r w:rsidRPr="00696B5D">
              <w:rPr>
                <w:rFonts w:cstheme="minorHAnsi"/>
              </w:rPr>
              <w:t>Telefon</w:t>
            </w:r>
          </w:p>
        </w:tc>
        <w:tc>
          <w:tcPr>
            <w:tcW w:w="4676" w:type="dxa"/>
          </w:tcPr>
          <w:p w14:paraId="36509992" w14:textId="77777777" w:rsidR="00E15493" w:rsidRPr="00696B5D" w:rsidRDefault="00E15493" w:rsidP="00696B5D">
            <w:pPr>
              <w:spacing w:line="276" w:lineRule="auto"/>
              <w:jc w:val="both"/>
              <w:rPr>
                <w:rFonts w:cstheme="minorHAnsi"/>
              </w:rPr>
            </w:pPr>
          </w:p>
        </w:tc>
      </w:tr>
      <w:tr w:rsidR="00E15493" w:rsidRPr="00696B5D" w14:paraId="0C28DBC4" w14:textId="77777777" w:rsidTr="00E43D8B">
        <w:tc>
          <w:tcPr>
            <w:tcW w:w="9356" w:type="dxa"/>
            <w:gridSpan w:val="2"/>
          </w:tcPr>
          <w:p w14:paraId="69917455" w14:textId="77777777" w:rsidR="00E15493" w:rsidRPr="00696B5D" w:rsidRDefault="00E15493" w:rsidP="00696B5D">
            <w:pPr>
              <w:spacing w:line="276" w:lineRule="auto"/>
              <w:jc w:val="both"/>
              <w:rPr>
                <w:rFonts w:cstheme="minorHAnsi"/>
              </w:rPr>
            </w:pPr>
          </w:p>
        </w:tc>
      </w:tr>
      <w:tr w:rsidR="00E15493" w:rsidRPr="00696B5D" w14:paraId="18F6CA9E" w14:textId="77777777" w:rsidTr="00E43D8B">
        <w:tc>
          <w:tcPr>
            <w:tcW w:w="4680" w:type="dxa"/>
          </w:tcPr>
          <w:p w14:paraId="16839D7C" w14:textId="08286F00" w:rsidR="00E15493" w:rsidRPr="00696B5D" w:rsidRDefault="00594B2F" w:rsidP="00696B5D">
            <w:pPr>
              <w:spacing w:line="276" w:lineRule="auto"/>
              <w:jc w:val="both"/>
              <w:rPr>
                <w:rFonts w:cstheme="minorHAnsi"/>
              </w:rPr>
            </w:pPr>
            <w:r w:rsidRPr="00696B5D">
              <w:rPr>
                <w:rFonts w:cstheme="minorHAnsi"/>
                <w:b/>
              </w:rPr>
              <w:t>TT MOBİL</w:t>
            </w:r>
            <w:r w:rsidR="00E15493" w:rsidRPr="00696B5D">
              <w:rPr>
                <w:rFonts w:cstheme="minorHAnsi"/>
              </w:rPr>
              <w:t>’</w:t>
            </w:r>
            <w:r w:rsidRPr="00696B5D">
              <w:rPr>
                <w:rFonts w:cstheme="minorHAnsi"/>
              </w:rPr>
              <w:t>i</w:t>
            </w:r>
            <w:r w:rsidR="00E15493" w:rsidRPr="00696B5D">
              <w:rPr>
                <w:rFonts w:cstheme="minorHAnsi"/>
              </w:rPr>
              <w:t>n Adresi</w:t>
            </w:r>
          </w:p>
        </w:tc>
        <w:tc>
          <w:tcPr>
            <w:tcW w:w="4676" w:type="dxa"/>
          </w:tcPr>
          <w:p w14:paraId="523D6920" w14:textId="77777777" w:rsidR="00E15493" w:rsidRPr="00696B5D" w:rsidRDefault="00E15493" w:rsidP="00696B5D">
            <w:pPr>
              <w:spacing w:line="276" w:lineRule="auto"/>
              <w:jc w:val="both"/>
              <w:rPr>
                <w:rFonts w:cstheme="minorHAnsi"/>
                <w:b/>
                <w:bCs/>
                <w:i/>
                <w:iCs/>
              </w:rPr>
            </w:pPr>
            <w:r w:rsidRPr="00696B5D">
              <w:rPr>
                <w:rFonts w:cstheme="minorHAnsi"/>
              </w:rPr>
              <w:t>Gayrettepe Mah. Yıldız Posta Caddesi No:40 Bodrum Kat, Oda No:13 34349 Beşiktaş-İstanbul</w:t>
            </w:r>
          </w:p>
        </w:tc>
      </w:tr>
      <w:tr w:rsidR="00E15493" w:rsidRPr="00696B5D" w14:paraId="1BD9C855" w14:textId="77777777" w:rsidTr="00E43D8B">
        <w:tc>
          <w:tcPr>
            <w:tcW w:w="4680" w:type="dxa"/>
          </w:tcPr>
          <w:p w14:paraId="4EC7C8A5" w14:textId="77777777" w:rsidR="00E15493" w:rsidRPr="00696B5D" w:rsidRDefault="00E15493" w:rsidP="00696B5D">
            <w:pPr>
              <w:spacing w:line="276" w:lineRule="auto"/>
              <w:jc w:val="both"/>
              <w:rPr>
                <w:rFonts w:cstheme="minorHAnsi"/>
              </w:rPr>
            </w:pPr>
            <w:r w:rsidRPr="00696B5D">
              <w:rPr>
                <w:rFonts w:cstheme="minorHAnsi"/>
              </w:rPr>
              <w:t>Telefon</w:t>
            </w:r>
          </w:p>
        </w:tc>
        <w:tc>
          <w:tcPr>
            <w:tcW w:w="4676" w:type="dxa"/>
          </w:tcPr>
          <w:p w14:paraId="61693316" w14:textId="77777777" w:rsidR="00E15493" w:rsidRPr="00696B5D" w:rsidRDefault="00E15493" w:rsidP="00696B5D">
            <w:pPr>
              <w:spacing w:line="276" w:lineRule="auto"/>
              <w:jc w:val="both"/>
              <w:rPr>
                <w:rFonts w:cstheme="minorHAnsi"/>
              </w:rPr>
            </w:pPr>
            <w:r w:rsidRPr="00696B5D">
              <w:rPr>
                <w:rFonts w:cstheme="minorHAnsi"/>
              </w:rPr>
              <w:t>0 212 460 1 500</w:t>
            </w:r>
          </w:p>
        </w:tc>
      </w:tr>
      <w:tr w:rsidR="00E15493" w:rsidRPr="00696B5D" w14:paraId="1A69FE2E" w14:textId="77777777" w:rsidTr="00E43D8B">
        <w:tc>
          <w:tcPr>
            <w:tcW w:w="4680" w:type="dxa"/>
          </w:tcPr>
          <w:p w14:paraId="0CE72997" w14:textId="77777777" w:rsidR="00E15493" w:rsidRPr="00696B5D" w:rsidRDefault="00E15493" w:rsidP="00696B5D">
            <w:pPr>
              <w:spacing w:line="276" w:lineRule="auto"/>
              <w:jc w:val="both"/>
              <w:rPr>
                <w:rFonts w:cstheme="minorHAnsi"/>
              </w:rPr>
            </w:pPr>
            <w:r w:rsidRPr="00696B5D">
              <w:rPr>
                <w:rFonts w:cstheme="minorHAnsi"/>
              </w:rPr>
              <w:t>E-Posta Adresi</w:t>
            </w:r>
          </w:p>
        </w:tc>
        <w:tc>
          <w:tcPr>
            <w:tcW w:w="4676" w:type="dxa"/>
          </w:tcPr>
          <w:p w14:paraId="1B334EFD" w14:textId="77777777" w:rsidR="00E15493" w:rsidRPr="00696B5D" w:rsidRDefault="00E15493" w:rsidP="00696B5D">
            <w:pPr>
              <w:spacing w:line="276" w:lineRule="auto"/>
              <w:jc w:val="both"/>
              <w:rPr>
                <w:rFonts w:cstheme="minorHAnsi"/>
              </w:rPr>
            </w:pPr>
          </w:p>
        </w:tc>
      </w:tr>
      <w:tr w:rsidR="00E15493" w:rsidRPr="00696B5D" w14:paraId="592D4CDC" w14:textId="77777777" w:rsidTr="00E43D8B">
        <w:tc>
          <w:tcPr>
            <w:tcW w:w="9356" w:type="dxa"/>
            <w:gridSpan w:val="2"/>
          </w:tcPr>
          <w:p w14:paraId="6F48DC03" w14:textId="77777777" w:rsidR="00E15493" w:rsidRPr="00696B5D" w:rsidRDefault="00E15493" w:rsidP="00696B5D">
            <w:pPr>
              <w:spacing w:line="276" w:lineRule="auto"/>
              <w:jc w:val="both"/>
              <w:rPr>
                <w:rFonts w:cstheme="minorHAnsi"/>
              </w:rPr>
            </w:pPr>
          </w:p>
        </w:tc>
      </w:tr>
      <w:tr w:rsidR="00E15493" w:rsidRPr="00696B5D" w14:paraId="58450813" w14:textId="77777777" w:rsidTr="00E43D8B">
        <w:tc>
          <w:tcPr>
            <w:tcW w:w="4680" w:type="dxa"/>
          </w:tcPr>
          <w:p w14:paraId="39EA71CF" w14:textId="168906E5" w:rsidR="00E15493" w:rsidRPr="00696B5D" w:rsidRDefault="00DA38DE" w:rsidP="00696B5D">
            <w:pPr>
              <w:spacing w:line="276" w:lineRule="auto"/>
              <w:jc w:val="both"/>
              <w:rPr>
                <w:rFonts w:cstheme="minorHAnsi"/>
              </w:rPr>
            </w:pPr>
            <w:r w:rsidRPr="00696B5D">
              <w:rPr>
                <w:rFonts w:cstheme="minorHAnsi"/>
                <w:b/>
              </w:rPr>
              <w:t>Yüklenici</w:t>
            </w:r>
            <w:r w:rsidR="00E15493" w:rsidRPr="00696B5D">
              <w:rPr>
                <w:rFonts w:cstheme="minorHAnsi"/>
              </w:rPr>
              <w:t>’</w:t>
            </w:r>
            <w:r w:rsidRPr="00696B5D">
              <w:rPr>
                <w:rFonts w:cstheme="minorHAnsi"/>
              </w:rPr>
              <w:t>n</w:t>
            </w:r>
            <w:r w:rsidR="00E15493" w:rsidRPr="00696B5D">
              <w:rPr>
                <w:rFonts w:cstheme="minorHAnsi"/>
              </w:rPr>
              <w:t>in Adresi</w:t>
            </w:r>
          </w:p>
        </w:tc>
        <w:tc>
          <w:tcPr>
            <w:tcW w:w="4676" w:type="dxa"/>
          </w:tcPr>
          <w:p w14:paraId="721CDC86" w14:textId="77777777" w:rsidR="00E15493" w:rsidRPr="00696B5D" w:rsidRDefault="00E15493" w:rsidP="00696B5D">
            <w:pPr>
              <w:spacing w:line="276" w:lineRule="auto"/>
              <w:jc w:val="both"/>
              <w:rPr>
                <w:rFonts w:cstheme="minorHAnsi"/>
              </w:rPr>
            </w:pPr>
          </w:p>
        </w:tc>
      </w:tr>
      <w:tr w:rsidR="00E15493" w:rsidRPr="00696B5D" w14:paraId="75614D84" w14:textId="77777777" w:rsidTr="00E43D8B">
        <w:tc>
          <w:tcPr>
            <w:tcW w:w="4680" w:type="dxa"/>
          </w:tcPr>
          <w:p w14:paraId="6B53A36E" w14:textId="77777777" w:rsidR="00E15493" w:rsidRPr="00696B5D" w:rsidRDefault="00E15493" w:rsidP="00696B5D">
            <w:pPr>
              <w:spacing w:line="276" w:lineRule="auto"/>
              <w:jc w:val="both"/>
              <w:rPr>
                <w:rFonts w:cstheme="minorHAnsi"/>
              </w:rPr>
            </w:pPr>
            <w:r w:rsidRPr="00696B5D">
              <w:rPr>
                <w:rFonts w:cstheme="minorHAnsi"/>
              </w:rPr>
              <w:t>Telefon</w:t>
            </w:r>
          </w:p>
        </w:tc>
        <w:tc>
          <w:tcPr>
            <w:tcW w:w="4676" w:type="dxa"/>
          </w:tcPr>
          <w:p w14:paraId="02B1ADB3" w14:textId="77777777" w:rsidR="00E15493" w:rsidRPr="00696B5D" w:rsidRDefault="00E15493" w:rsidP="00696B5D">
            <w:pPr>
              <w:spacing w:line="276" w:lineRule="auto"/>
              <w:jc w:val="both"/>
              <w:rPr>
                <w:rFonts w:cstheme="minorHAnsi"/>
              </w:rPr>
            </w:pPr>
          </w:p>
        </w:tc>
      </w:tr>
      <w:tr w:rsidR="00E15493" w:rsidRPr="00696B5D" w14:paraId="62EE089F" w14:textId="77777777" w:rsidTr="00E43D8B">
        <w:tc>
          <w:tcPr>
            <w:tcW w:w="4680" w:type="dxa"/>
          </w:tcPr>
          <w:p w14:paraId="30E7C894" w14:textId="77777777" w:rsidR="00E15493" w:rsidRPr="00696B5D" w:rsidRDefault="00E15493" w:rsidP="00696B5D">
            <w:pPr>
              <w:spacing w:line="276" w:lineRule="auto"/>
              <w:jc w:val="both"/>
              <w:rPr>
                <w:rFonts w:cstheme="minorHAnsi"/>
              </w:rPr>
            </w:pPr>
            <w:r w:rsidRPr="00696B5D">
              <w:rPr>
                <w:rFonts w:cstheme="minorHAnsi"/>
              </w:rPr>
              <w:t>E-Posta Adresi</w:t>
            </w:r>
          </w:p>
        </w:tc>
        <w:tc>
          <w:tcPr>
            <w:tcW w:w="4676" w:type="dxa"/>
          </w:tcPr>
          <w:p w14:paraId="4706977A" w14:textId="77777777" w:rsidR="00E15493" w:rsidRPr="00696B5D" w:rsidRDefault="00E15493" w:rsidP="00696B5D">
            <w:pPr>
              <w:spacing w:line="276" w:lineRule="auto"/>
              <w:jc w:val="both"/>
              <w:rPr>
                <w:rFonts w:cstheme="minorHAnsi"/>
              </w:rPr>
            </w:pPr>
          </w:p>
        </w:tc>
      </w:tr>
    </w:tbl>
    <w:p w14:paraId="60CDABC7" w14:textId="77777777" w:rsidR="00E15493" w:rsidRPr="00696B5D" w:rsidRDefault="00E15493" w:rsidP="00696B5D">
      <w:pPr>
        <w:tabs>
          <w:tab w:val="left" w:pos="6045"/>
        </w:tabs>
        <w:spacing w:line="276" w:lineRule="auto"/>
        <w:jc w:val="both"/>
        <w:rPr>
          <w:rFonts w:eastAsia="Calibri" w:cstheme="minorHAnsi"/>
        </w:rPr>
      </w:pPr>
    </w:p>
    <w:p w14:paraId="4D43E056" w14:textId="77777777" w:rsidR="00E15493" w:rsidRPr="00696B5D" w:rsidRDefault="00E15493" w:rsidP="00696B5D">
      <w:pPr>
        <w:pStyle w:val="ListParagraph"/>
        <w:numPr>
          <w:ilvl w:val="0"/>
          <w:numId w:val="3"/>
        </w:numPr>
        <w:tabs>
          <w:tab w:val="left" w:pos="709"/>
        </w:tabs>
        <w:spacing w:before="240" w:after="240" w:line="276" w:lineRule="auto"/>
        <w:contextualSpacing/>
        <w:jc w:val="both"/>
        <w:rPr>
          <w:rFonts w:asciiTheme="minorHAnsi" w:eastAsia="Calibri" w:hAnsiTheme="minorHAnsi" w:cstheme="minorHAnsi"/>
          <w:b/>
          <w:sz w:val="22"/>
          <w:szCs w:val="22"/>
        </w:rPr>
      </w:pPr>
      <w:r w:rsidRPr="00696B5D">
        <w:rPr>
          <w:rFonts w:asciiTheme="minorHAnsi" w:eastAsia="Calibri" w:hAnsiTheme="minorHAnsi" w:cstheme="minorHAnsi"/>
          <w:b/>
          <w:sz w:val="22"/>
          <w:szCs w:val="22"/>
        </w:rPr>
        <w:t>TANIMLAR</w:t>
      </w:r>
    </w:p>
    <w:p w14:paraId="4002246D" w14:textId="77777777" w:rsidR="00E15493" w:rsidRPr="00696B5D" w:rsidRDefault="00E15493" w:rsidP="00696B5D">
      <w:pPr>
        <w:spacing w:before="240" w:after="240" w:line="276" w:lineRule="auto"/>
        <w:jc w:val="both"/>
        <w:rPr>
          <w:rFonts w:cstheme="minorHAnsi"/>
          <w:b/>
          <w:kern w:val="32"/>
        </w:rPr>
      </w:pPr>
      <w:r w:rsidRPr="00696B5D">
        <w:rPr>
          <w:rFonts w:cstheme="minorHAnsi"/>
        </w:rPr>
        <w:t>Taraflarca aksi açıkça kararlaştırılmadıkça işbu Sözleşme kapsamında büyük harfle yazılmış terimler aşağıdaki anlamları ifade edecek olup, ayrıca varsa teknik eklerde yapılmış olan tanımlar da geçerli olacaktır.</w:t>
      </w:r>
    </w:p>
    <w:p w14:paraId="2D3C33A1"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lastRenderedPageBreak/>
        <w:t xml:space="preserve">Faz: </w:t>
      </w:r>
      <w:r w:rsidRPr="00696B5D">
        <w:rPr>
          <w:rFonts w:cstheme="minorHAnsi"/>
          <w:kern w:val="32"/>
        </w:rPr>
        <w:t>Proje Planı uyarınca, kendi içinde bir bütün olarak tanımlanmış ifa edilecek Hizmetleri,</w:t>
      </w:r>
    </w:p>
    <w:p w14:paraId="79956CA5" w14:textId="77777777" w:rsidR="00E15493" w:rsidRPr="00696B5D" w:rsidRDefault="00E15493" w:rsidP="00696B5D">
      <w:pPr>
        <w:spacing w:before="240" w:after="240" w:line="276" w:lineRule="auto"/>
        <w:jc w:val="both"/>
        <w:rPr>
          <w:rFonts w:cstheme="minorHAnsi"/>
          <w:b/>
          <w:kern w:val="32"/>
        </w:rPr>
      </w:pPr>
      <w:r w:rsidRPr="00696B5D">
        <w:rPr>
          <w:rFonts w:cstheme="minorHAnsi"/>
          <w:b/>
          <w:kern w:val="32"/>
        </w:rPr>
        <w:t xml:space="preserve">Hizmetler: </w:t>
      </w:r>
      <w:r w:rsidRPr="00696B5D">
        <w:rPr>
          <w:rFonts w:cstheme="minorHAnsi"/>
          <w:kern w:val="32"/>
        </w:rPr>
        <w:t>Yüklenici tarafından verilecek olan ve detayları işbu Sözleşme ekinde yer alan/ Sözleşme’ye eklenecek olan her bir Satınalma Siparişi/İş Emri ve bunların ekinde yer alan performans kriterleri uyarınca verilecek Hizmetler ile ilgili uygulama, dokümantasyon, hizmet yönetimi, raporlama ve benzeri hizmetleri,</w:t>
      </w:r>
    </w:p>
    <w:p w14:paraId="6A73F227"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İş Günü: </w:t>
      </w:r>
      <w:r w:rsidRPr="00696B5D">
        <w:rPr>
          <w:rFonts w:cstheme="minorHAnsi"/>
          <w:kern w:val="32"/>
        </w:rPr>
        <w:t>Cumartesi, Pazar ve Türkiye Cumhuriyeti’nde resmi tatil günleri dışında herhangi bir günü,</w:t>
      </w:r>
    </w:p>
    <w:p w14:paraId="7D1DAA17"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Kabul: </w:t>
      </w:r>
      <w:r w:rsidRPr="00696B5D">
        <w:rPr>
          <w:rFonts w:cstheme="minorHAnsi"/>
          <w:kern w:val="32"/>
        </w:rPr>
        <w:t>Hizmetler’in işbu Sözleşme ve ekleri uyarınca başarıyla tamamlandığını TTG tarafından teyit edilmesini,</w:t>
      </w:r>
    </w:p>
    <w:p w14:paraId="76133215"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Kabul Belgesi: </w:t>
      </w:r>
      <w:r w:rsidRPr="00696B5D">
        <w:rPr>
          <w:rFonts w:cstheme="minorHAnsi"/>
          <w:kern w:val="32"/>
        </w:rPr>
        <w:t>Kabul’ün gerçekleştiğini tevsik eden ve TTG tarafından düzenlenecek olan belge ve/veya bildirimi,</w:t>
      </w:r>
    </w:p>
    <w:p w14:paraId="5975480A" w14:textId="77777777" w:rsidR="00E15493" w:rsidRPr="00696B5D" w:rsidRDefault="00E15493" w:rsidP="00696B5D">
      <w:pPr>
        <w:spacing w:after="240" w:line="276" w:lineRule="auto"/>
        <w:jc w:val="both"/>
        <w:rPr>
          <w:rFonts w:cstheme="minorHAnsi"/>
          <w:b/>
        </w:rPr>
      </w:pPr>
      <w:r w:rsidRPr="00696B5D">
        <w:rPr>
          <w:rFonts w:cstheme="minorHAnsi"/>
          <w:b/>
        </w:rPr>
        <w:t xml:space="preserve">Ödeme Günü: </w:t>
      </w:r>
      <w:r w:rsidRPr="00696B5D">
        <w:rPr>
          <w:rFonts w:cstheme="minorHAnsi"/>
          <w:b/>
        </w:rPr>
        <w:tab/>
      </w:r>
      <w:r w:rsidRPr="00696B5D">
        <w:rPr>
          <w:rFonts w:cstheme="minorHAnsi"/>
        </w:rPr>
        <w:t>Her ayın 15’inci (onbeş) takvim günü (tatil günlerine denk gelmesi durumunda bir sonraki işgünü) ve son işgününü,</w:t>
      </w:r>
    </w:p>
    <w:p w14:paraId="03597D94"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Personel: </w:t>
      </w:r>
      <w:r w:rsidRPr="00696B5D">
        <w:rPr>
          <w:rFonts w:cstheme="minorHAnsi"/>
          <w:kern w:val="32"/>
        </w:rPr>
        <w:t>Yüklenici tarafından TTG’ye verilecek olan Hizmetleri yerine getirmek üzere Proje’de görevlendirilen Yüklenici çalışanları, danışmanları, temsilcileri, bakım hizmet personeli dâhil tüm personeli ve diğer ifa yardımcılarını,</w:t>
      </w:r>
    </w:p>
    <w:p w14:paraId="1B33575B"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Proje: </w:t>
      </w:r>
      <w:r w:rsidRPr="00696B5D">
        <w:rPr>
          <w:rFonts w:cstheme="minorHAnsi"/>
          <w:kern w:val="32"/>
        </w:rPr>
        <w:t>İşbu Sözleşme’ye atıf yapılarak TTG’nin Yüklenici’den talep ettiği tüm Hizmetler’i,</w:t>
      </w:r>
    </w:p>
    <w:p w14:paraId="1BAB0791" w14:textId="331D832B"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Proje Dokümantasyonu: </w:t>
      </w:r>
      <w:r w:rsidRPr="00696B5D">
        <w:rPr>
          <w:rFonts w:cstheme="minorHAnsi"/>
          <w:kern w:val="32"/>
        </w:rPr>
        <w:t>Yüklenici tarafından işbu Sözleşme kapsamında düzenlenmiş her bir Satın Alma Siparişi uyarınca (bağımsız olarak veya TTG veya üçüncü kişilerle birlikte), Yüklenici tarafından işbu Sözleşme kapsamında Hizmetler’in ifası sırasında sadece TTG için yaratılıp, hazırlanmış ve Yüklenici tarafından teslim edilen raporlar, taslaklar, belgeler, şablonlar, etütler, stratejiler, çalışma modelleri, teknik mimariler, tasarlanmış nesneler, yazılım nesneleri, yazılım programları, kaynak kodu, amaç kodu, spesifikasyonlar, özetler ve bunların özetleri ve diğer iş ürünü ve malzemeleri,</w:t>
      </w:r>
    </w:p>
    <w:p w14:paraId="0B4E006C"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Proje Planı: </w:t>
      </w:r>
      <w:r w:rsidRPr="00696B5D">
        <w:rPr>
          <w:rFonts w:cstheme="minorHAnsi"/>
          <w:kern w:val="32"/>
        </w:rPr>
        <w:t>Sözleşme kapsamında verilecek Hizmetler’e ve Proje Dokümantasyonu’na ilişkin olarak, her bir iş için belirlenen süre dahilinde (gerekli) adımları, görevleri, dönüm noktalarını, Fazları ve sorumlukları tanımlayan planı,</w:t>
      </w:r>
    </w:p>
    <w:p w14:paraId="4A72F24B" w14:textId="77777777" w:rsidR="00E15493" w:rsidRPr="00696B5D" w:rsidRDefault="00E15493" w:rsidP="00696B5D">
      <w:pPr>
        <w:spacing w:before="240" w:after="240" w:line="276" w:lineRule="auto"/>
        <w:jc w:val="both"/>
        <w:rPr>
          <w:rFonts w:cstheme="minorHAnsi"/>
          <w:kern w:val="32"/>
        </w:rPr>
      </w:pPr>
      <w:r w:rsidRPr="00696B5D">
        <w:rPr>
          <w:rFonts w:cstheme="minorHAnsi"/>
          <w:b/>
          <w:kern w:val="32"/>
        </w:rPr>
        <w:t xml:space="preserve">Satın Alma Siparişi: </w:t>
      </w:r>
      <w:r w:rsidRPr="00696B5D">
        <w:rPr>
          <w:rFonts w:cstheme="minorHAnsi"/>
          <w:kern w:val="32"/>
        </w:rPr>
        <w:t>Beher alım şartına ilişkin Yüklenici’nin teklifi üzerinde karşılıklı mutabakat sonrası TTG tarafından Yüklenici’den satın alınacak tüm Hizmetler için Sözleşme’ye atfen düzenlenen sipariş belgesini,</w:t>
      </w:r>
    </w:p>
    <w:p w14:paraId="36C616E4" w14:textId="77777777" w:rsidR="00E15493" w:rsidRPr="00696B5D" w:rsidRDefault="00E15493" w:rsidP="00696B5D">
      <w:pPr>
        <w:widowControl w:val="0"/>
        <w:spacing w:before="240" w:after="240" w:line="276" w:lineRule="auto"/>
        <w:jc w:val="both"/>
        <w:rPr>
          <w:rFonts w:cstheme="minorHAnsi"/>
          <w:kern w:val="32"/>
        </w:rPr>
      </w:pPr>
      <w:r w:rsidRPr="00696B5D">
        <w:rPr>
          <w:rFonts w:cstheme="minorHAnsi"/>
          <w:b/>
          <w:kern w:val="32"/>
        </w:rPr>
        <w:t>Sözleşme:</w:t>
      </w:r>
      <w:r w:rsidRPr="00696B5D">
        <w:rPr>
          <w:rFonts w:cstheme="minorHAnsi"/>
          <w:kern w:val="32"/>
        </w:rPr>
        <w:t xml:space="preserve"> Bütün ekleriyle beraber işbu Çerçeve Sözleşme’yi,</w:t>
      </w:r>
    </w:p>
    <w:p w14:paraId="6868F507" w14:textId="77777777" w:rsidR="00E15493" w:rsidRPr="00696B5D" w:rsidRDefault="00E15493" w:rsidP="00696B5D">
      <w:pPr>
        <w:spacing w:after="240" w:line="276" w:lineRule="auto"/>
        <w:jc w:val="both"/>
        <w:rPr>
          <w:rFonts w:cstheme="minorHAnsi"/>
        </w:rPr>
      </w:pPr>
      <w:r w:rsidRPr="00696B5D">
        <w:rPr>
          <w:rFonts w:cstheme="minorHAnsi"/>
          <w:b/>
        </w:rPr>
        <w:t>Uygulanacak Yasalar:</w:t>
      </w:r>
      <w:r w:rsidRPr="00696B5D">
        <w:rPr>
          <w:rFonts w:cstheme="minorHAnsi"/>
          <w:b/>
        </w:rPr>
        <w:tab/>
      </w:r>
      <w:r w:rsidRPr="00696B5D">
        <w:rPr>
          <w:rFonts w:cstheme="minorHAnsi"/>
        </w:rPr>
        <w:t>Sözleşme kapsamında veya Sözleşme ile bağlantılı olarak öngörülen faaliyetlere ilişkin düzenlenmiş/ çıkarılmış kanunlar ve yönetmelikler, ilgili herhangi bir kurumun ikincil mevzuatı ve/veya diğer düzenlemeleri ve yukarıda anılanlarla aynı etkiye sahip, işbu Sözleşme kapsamındaki işler ile ilgili olan zaman zaman çıkarılması söz konusu olan her türlü resmi belgeyi,</w:t>
      </w:r>
    </w:p>
    <w:p w14:paraId="1D8D0355" w14:textId="77777777" w:rsidR="00E15493" w:rsidRPr="00696B5D" w:rsidRDefault="00E15493" w:rsidP="00696B5D">
      <w:pPr>
        <w:widowControl w:val="0"/>
        <w:spacing w:before="240" w:after="240" w:line="276" w:lineRule="auto"/>
        <w:jc w:val="both"/>
        <w:rPr>
          <w:rFonts w:cstheme="minorHAnsi"/>
          <w:kern w:val="32"/>
        </w:rPr>
      </w:pPr>
      <w:r w:rsidRPr="00696B5D">
        <w:rPr>
          <w:rFonts w:cstheme="minorHAnsi"/>
          <w:b/>
          <w:kern w:val="32"/>
        </w:rPr>
        <w:lastRenderedPageBreak/>
        <w:t xml:space="preserve">Üçüncü Kişi İşyerleri: </w:t>
      </w:r>
      <w:r w:rsidRPr="00696B5D">
        <w:rPr>
          <w:rFonts w:cstheme="minorHAnsi"/>
          <w:kern w:val="32"/>
        </w:rPr>
        <w:t>TTG tarafından belirlenen lokasyonları,</w:t>
      </w:r>
    </w:p>
    <w:p w14:paraId="45C59C09" w14:textId="77777777" w:rsidR="00E15493" w:rsidRPr="00696B5D" w:rsidRDefault="00E15493" w:rsidP="00696B5D">
      <w:pPr>
        <w:widowControl w:val="0"/>
        <w:spacing w:before="240" w:after="240" w:line="276" w:lineRule="auto"/>
        <w:jc w:val="both"/>
        <w:rPr>
          <w:rFonts w:cstheme="minorHAnsi"/>
          <w:kern w:val="32"/>
        </w:rPr>
      </w:pPr>
      <w:r w:rsidRPr="00696B5D">
        <w:rPr>
          <w:rFonts w:cstheme="minorHAnsi"/>
          <w:kern w:val="32"/>
        </w:rPr>
        <w:t>ifade eder.</w:t>
      </w:r>
    </w:p>
    <w:p w14:paraId="48FFDC09" w14:textId="77777777" w:rsidR="00E15493" w:rsidRPr="00696B5D" w:rsidRDefault="00E15493" w:rsidP="00696B5D">
      <w:pPr>
        <w:pStyle w:val="ListParagraph"/>
        <w:numPr>
          <w:ilvl w:val="0"/>
          <w:numId w:val="3"/>
        </w:numPr>
        <w:spacing w:before="240" w:after="240" w:line="276" w:lineRule="auto"/>
        <w:contextualSpacing/>
        <w:jc w:val="both"/>
        <w:rPr>
          <w:rFonts w:asciiTheme="minorHAnsi" w:hAnsiTheme="minorHAnsi" w:cstheme="minorHAnsi"/>
          <w:b/>
          <w:bCs/>
          <w:sz w:val="22"/>
          <w:szCs w:val="22"/>
        </w:rPr>
      </w:pPr>
      <w:r w:rsidRPr="00696B5D">
        <w:rPr>
          <w:rFonts w:asciiTheme="minorHAnsi" w:hAnsiTheme="minorHAnsi" w:cstheme="minorHAnsi"/>
          <w:b/>
          <w:bCs/>
          <w:sz w:val="22"/>
          <w:szCs w:val="22"/>
        </w:rPr>
        <w:t>ÇERÇEVE HÜKÜMLER</w:t>
      </w:r>
    </w:p>
    <w:p w14:paraId="1AA92C26" w14:textId="77777777" w:rsidR="00E15493" w:rsidRPr="00696B5D" w:rsidRDefault="00E15493" w:rsidP="00696B5D">
      <w:pPr>
        <w:pStyle w:val="ListParagraph"/>
        <w:spacing w:before="240" w:after="240" w:line="276" w:lineRule="auto"/>
        <w:ind w:left="0"/>
        <w:jc w:val="both"/>
        <w:rPr>
          <w:rFonts w:asciiTheme="minorHAnsi" w:hAnsiTheme="minorHAnsi" w:cstheme="minorHAnsi"/>
          <w:b/>
          <w:bCs/>
          <w:sz w:val="22"/>
          <w:szCs w:val="22"/>
        </w:rPr>
      </w:pPr>
    </w:p>
    <w:p w14:paraId="670F7057"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 xml:space="preserve">Sözleşme’de herhangi bir “madde”ye yapılacak her türlü atıf, aksi belirtilmedikçe, bu Sözleşme’de yer alan ilgili maddeye yapılmış olarak yorumlanacaktır. </w:t>
      </w:r>
    </w:p>
    <w:p w14:paraId="56559ED5"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Sözleşme’nin madde başlıkları sadece referans amaçlı olup, hiçbir surette bu Sözleşme’nin veya herhangi bir maddesinin yorumunu etkilemeyecek, değiştirmeyecek veya genişletmeyecektir.</w:t>
      </w:r>
    </w:p>
    <w:p w14:paraId="2DBB3A6E"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Ekler işbu Sözleşme’nin ayrılmaz bir parçasını oluşturur ve bu Sözleşme’de tanımlanan sözcük ve deyimler, bağlam aksini gerektirmedikçe, eklerde de aynı anlamı taşıyacaktır.</w:t>
      </w:r>
    </w:p>
    <w:p w14:paraId="02BD5AC4"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Sözleşme’de herhangi bir gün sayısı öngörüldüğünde, bu sayı ilk gün hariç, iş günü olmayan bir güne isabet etmedikçe son gün dahil hesaplanacaktır; aksi takdirde son gün bir sonraki iş günü olacaktır.</w:t>
      </w:r>
    </w:p>
    <w:p w14:paraId="354FCBA6"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Sözleşme uyarınca ödenecek herhangi bir tutarın Ödeme Günü iş günü olmayan bir güne isabet ederse, ilgili ödeme tarihi bir sonraki iş günü olacaktır.</w:t>
      </w:r>
    </w:p>
    <w:p w14:paraId="51446CDB" w14:textId="77777777" w:rsidR="00E15493" w:rsidRPr="00696B5D" w:rsidRDefault="00E15493" w:rsidP="00696B5D">
      <w:pPr>
        <w:pStyle w:val="ListParagraph"/>
        <w:numPr>
          <w:ilvl w:val="1"/>
          <w:numId w:val="3"/>
        </w:numPr>
        <w:spacing w:before="240" w:after="240" w:line="276" w:lineRule="auto"/>
        <w:ind w:left="0" w:firstLine="0"/>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Bağlam gerektirirse tekil sözcükler çoğul anlamı ve çoğul sözcükler tekil anlamı da içerecektir.</w:t>
      </w:r>
    </w:p>
    <w:p w14:paraId="4910FE53" w14:textId="77777777"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Sözleşme’de geçen “yazılı”, “yazılı olarak” kelimeleri el, daktilo ya da elektronik ortamda oluşturulmuş ve baskısı alınmış ya da kalıcı olarak kaydedilmiş olmayı ifade etmektedir.</w:t>
      </w:r>
    </w:p>
    <w:p w14:paraId="2BF99E28" w14:textId="4B56E5BE" w:rsidR="00E15493" w:rsidRPr="00696B5D" w:rsidRDefault="00E15493" w:rsidP="00696B5D">
      <w:pPr>
        <w:pStyle w:val="ListParagraph"/>
        <w:numPr>
          <w:ilvl w:val="1"/>
          <w:numId w:val="3"/>
        </w:numPr>
        <w:spacing w:before="240" w:after="240" w:line="276" w:lineRule="auto"/>
        <w:ind w:left="709" w:hanging="709"/>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 xml:space="preserve">İşbu Sözleşme, ana metni, ekleri ve bunlarda yapılabilecek değişikliklerle bir bütünlük arz eder ve birlikte yorumlanmalıdır. İşbu sözleşme ve ekleri maddeleri arasında anlam farkı ve/ veya çelişki olması halinde, ana sözleşme maddeleri esas alınacaktır. </w:t>
      </w:r>
    </w:p>
    <w:p w14:paraId="22351C81" w14:textId="77777777" w:rsidR="00E15493" w:rsidRPr="00696B5D" w:rsidRDefault="00E15493" w:rsidP="00696B5D">
      <w:pPr>
        <w:pStyle w:val="ListParagraph"/>
        <w:spacing w:before="240" w:after="240" w:line="276" w:lineRule="auto"/>
        <w:ind w:left="0"/>
        <w:jc w:val="both"/>
        <w:rPr>
          <w:rFonts w:asciiTheme="minorHAnsi" w:hAnsiTheme="minorHAnsi" w:cstheme="minorHAnsi"/>
          <w:sz w:val="22"/>
          <w:szCs w:val="22"/>
          <w:lang w:val="en-US"/>
        </w:rPr>
      </w:pPr>
    </w:p>
    <w:p w14:paraId="6A934EA3" w14:textId="77777777" w:rsidR="00E15493" w:rsidRPr="00696B5D" w:rsidRDefault="00E15493" w:rsidP="00696B5D">
      <w:pPr>
        <w:pStyle w:val="ListParagraph"/>
        <w:numPr>
          <w:ilvl w:val="0"/>
          <w:numId w:val="3"/>
        </w:numPr>
        <w:spacing w:before="240" w:after="240" w:line="276" w:lineRule="auto"/>
        <w:contextualSpacing/>
        <w:jc w:val="both"/>
        <w:rPr>
          <w:rFonts w:asciiTheme="minorHAnsi" w:hAnsiTheme="minorHAnsi" w:cstheme="minorHAnsi"/>
          <w:kern w:val="32"/>
          <w:sz w:val="22"/>
          <w:szCs w:val="22"/>
        </w:rPr>
      </w:pPr>
      <w:r w:rsidRPr="00696B5D">
        <w:rPr>
          <w:rFonts w:asciiTheme="minorHAnsi" w:hAnsiTheme="minorHAnsi" w:cstheme="minorHAnsi"/>
          <w:b/>
          <w:bCs/>
          <w:sz w:val="22"/>
          <w:szCs w:val="22"/>
        </w:rPr>
        <w:t>SÖZLEŞME’NİN KONUSU VE KAPSAMI</w:t>
      </w:r>
    </w:p>
    <w:p w14:paraId="2A0D0BFE" w14:textId="77777777" w:rsidR="00C22E38" w:rsidRDefault="00C22E38" w:rsidP="00C22E38">
      <w:pPr>
        <w:pStyle w:val="Default"/>
        <w:jc w:val="both"/>
        <w:rPr>
          <w:rFonts w:eastAsia="Times New Roman" w:cs="Times New Roman"/>
          <w:bCs/>
          <w:color w:val="000000" w:themeColor="text1"/>
          <w:sz w:val="22"/>
          <w:szCs w:val="22"/>
        </w:rPr>
      </w:pPr>
      <w:r w:rsidRPr="00F279EA">
        <w:rPr>
          <w:rFonts w:eastAsia="Times New Roman" w:cs="Times New Roman"/>
          <w:bCs/>
          <w:sz w:val="22"/>
          <w:szCs w:val="22"/>
        </w:rPr>
        <w:t xml:space="preserve">İşbu </w:t>
      </w:r>
      <w:r w:rsidRPr="00F279EA">
        <w:rPr>
          <w:rFonts w:eastAsia="Times New Roman" w:cs="Times New Roman"/>
          <w:bCs/>
          <w:color w:val="000000" w:themeColor="text1"/>
          <w:sz w:val="22"/>
          <w:szCs w:val="22"/>
        </w:rPr>
        <w:t xml:space="preserve">Sözleşme’nin konusu; </w:t>
      </w:r>
      <w:r>
        <w:rPr>
          <w:rFonts w:eastAsia="Times New Roman" w:cs="Times New Roman"/>
          <w:bCs/>
          <w:color w:val="000000" w:themeColor="text1"/>
          <w:sz w:val="22"/>
          <w:szCs w:val="22"/>
        </w:rPr>
        <w:t xml:space="preserve">İş Sağlığı ve Güvenliği Hizmetlerini sunmakla yetkili olan Yüklenici tarafından verilecek olan ve detayları Sözleşme eki Teknik Şartname’de yer alan, TTG’ye ait işyerlerinde, 6331 sayılı İş Sağlığı ve Güvenliği Kanunu, bu Kanuna göre yayımlanan Yönetmelikler başta olmak üzere ilgili mevzuata uymak koşuluyla işyeri hekimliği, İş güvenliği uzmanlığı ve diğer sağlık personeli hizmet sunulmasına ilişkin Tarafların hak ve yükümlülüklerinin belirlenmesidir. </w:t>
      </w:r>
    </w:p>
    <w:p w14:paraId="23810FCF" w14:textId="2BDB58D5" w:rsidR="00E15493" w:rsidRPr="00696B5D" w:rsidRDefault="00D46D73" w:rsidP="00696B5D">
      <w:pPr>
        <w:pStyle w:val="BodyText2"/>
        <w:spacing w:before="240" w:line="276" w:lineRule="auto"/>
        <w:jc w:val="both"/>
        <w:rPr>
          <w:rFonts w:cstheme="minorHAnsi"/>
        </w:rPr>
      </w:pPr>
      <w:r w:rsidRPr="00696B5D">
        <w:rPr>
          <w:rFonts w:cstheme="minorHAnsi"/>
        </w:rPr>
        <w:t xml:space="preserve">İşbu Sözleşme süresince TTG’nin talebi üzerine Yüklenici tarafından verilecek tüm Hizmetler için geçerli genel şartları içeren bir çerçeve sözleşme niteliğinde olup, Yüklenici’ye alım garantisi vermemekle birlikte Sözleşme konusu kapsamındaki </w:t>
      </w:r>
      <w:r w:rsidRPr="00696B5D">
        <w:rPr>
          <w:rFonts w:cstheme="minorHAnsi"/>
          <w:kern w:val="32"/>
        </w:rPr>
        <w:t xml:space="preserve">TTG şirketlerinden her biri için ayrı Satınalma Siparişi ile yapılacaktır. </w:t>
      </w:r>
    </w:p>
    <w:p w14:paraId="29483079" w14:textId="5A665F14" w:rsidR="00E15493" w:rsidRPr="00C22E38" w:rsidRDefault="00C22E38" w:rsidP="00C22E38">
      <w:pPr>
        <w:pStyle w:val="Default"/>
        <w:jc w:val="both"/>
        <w:rPr>
          <w:color w:val="000000" w:themeColor="text1"/>
          <w:sz w:val="22"/>
          <w:szCs w:val="22"/>
        </w:rPr>
      </w:pPr>
      <w:r>
        <w:rPr>
          <w:rFonts w:eastAsia="Times New Roman" w:cs="Times New Roman"/>
          <w:bCs/>
          <w:color w:val="000000" w:themeColor="text1"/>
          <w:sz w:val="22"/>
          <w:szCs w:val="22"/>
        </w:rPr>
        <w:t>İşbu Sözleşme kapsamında yapılacak hizmet alımları” anahtar teslim” Proje tedariğine dayalı olarak yapılacak olup, Taraflar arasında asıl işveren- alt işveren ilişkisi kurulmayacaktır.</w:t>
      </w:r>
    </w:p>
    <w:p w14:paraId="5178553E" w14:textId="77777777" w:rsidR="00E15493" w:rsidRPr="00696B5D" w:rsidRDefault="00E15493" w:rsidP="00696B5D">
      <w:pPr>
        <w:pStyle w:val="ListParagraph"/>
        <w:numPr>
          <w:ilvl w:val="0"/>
          <w:numId w:val="3"/>
        </w:numPr>
        <w:spacing w:before="240" w:after="240" w:line="276" w:lineRule="auto"/>
        <w:contextualSpacing/>
        <w:jc w:val="both"/>
        <w:rPr>
          <w:rFonts w:asciiTheme="minorHAnsi" w:hAnsiTheme="minorHAnsi" w:cstheme="minorHAnsi"/>
          <w:bCs/>
          <w:sz w:val="22"/>
          <w:szCs w:val="22"/>
        </w:rPr>
      </w:pPr>
      <w:r w:rsidRPr="00696B5D">
        <w:rPr>
          <w:rFonts w:asciiTheme="minorHAnsi" w:hAnsiTheme="minorHAnsi" w:cstheme="minorHAnsi"/>
          <w:b/>
          <w:bCs/>
          <w:sz w:val="22"/>
          <w:szCs w:val="22"/>
        </w:rPr>
        <w:t>TARAFLAR’IN YÜKÜMLÜLÜKLERİ</w:t>
      </w:r>
    </w:p>
    <w:p w14:paraId="106B09B6" w14:textId="77777777" w:rsidR="00E15493" w:rsidRPr="00696B5D" w:rsidRDefault="00E15493" w:rsidP="00696B5D">
      <w:pPr>
        <w:pStyle w:val="ListParagraph"/>
        <w:numPr>
          <w:ilvl w:val="1"/>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
          <w:bCs/>
          <w:sz w:val="22"/>
          <w:szCs w:val="22"/>
        </w:rPr>
        <w:t>Yüklenici’nin Yükümlülükleri</w:t>
      </w:r>
    </w:p>
    <w:p w14:paraId="7E302424" w14:textId="1A1AE07B" w:rsidR="009C544D" w:rsidRPr="00696B5D" w:rsidRDefault="00594B2F" w:rsidP="00696B5D">
      <w:pPr>
        <w:pStyle w:val="ListParagraph"/>
        <w:spacing w:before="240" w:after="240" w:line="276" w:lineRule="auto"/>
        <w:ind w:left="0"/>
        <w:jc w:val="both"/>
        <w:rPr>
          <w:rFonts w:asciiTheme="minorHAnsi" w:hAnsiTheme="minorHAnsi" w:cstheme="minorHAnsi"/>
          <w:bCs/>
          <w:sz w:val="22"/>
          <w:szCs w:val="22"/>
        </w:rPr>
      </w:pPr>
      <w:r w:rsidRPr="00696B5D">
        <w:rPr>
          <w:rFonts w:asciiTheme="minorHAnsi" w:hAnsiTheme="minorHAnsi" w:cstheme="minorHAnsi"/>
          <w:bCs/>
          <w:sz w:val="22"/>
          <w:szCs w:val="22"/>
        </w:rPr>
        <w:t xml:space="preserve">İşbu Sözleşme ile </w:t>
      </w:r>
      <w:r w:rsidR="00E15493" w:rsidRPr="00696B5D">
        <w:rPr>
          <w:rFonts w:asciiTheme="minorHAnsi" w:hAnsiTheme="minorHAnsi" w:cstheme="minorHAnsi"/>
          <w:bCs/>
          <w:sz w:val="22"/>
          <w:szCs w:val="22"/>
        </w:rPr>
        <w:t>Yüklenici;</w:t>
      </w:r>
    </w:p>
    <w:p w14:paraId="17E76534" w14:textId="6BC305B2"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sz w:val="22"/>
          <w:szCs w:val="22"/>
        </w:rPr>
        <w:lastRenderedPageBreak/>
        <w:t xml:space="preserve">Hizmetler’i </w:t>
      </w:r>
      <w:r w:rsidR="00F41421" w:rsidRPr="00696B5D">
        <w:rPr>
          <w:rFonts w:asciiTheme="minorHAnsi" w:hAnsiTheme="minorHAnsi" w:cstheme="minorHAnsi"/>
          <w:sz w:val="22"/>
          <w:szCs w:val="22"/>
        </w:rPr>
        <w:t xml:space="preserve">Uygulanacak Yasalardaki, </w:t>
      </w:r>
      <w:r w:rsidRPr="00696B5D">
        <w:rPr>
          <w:rFonts w:asciiTheme="minorHAnsi" w:hAnsiTheme="minorHAnsi" w:cstheme="minorHAnsi"/>
          <w:sz w:val="22"/>
          <w:szCs w:val="22"/>
        </w:rPr>
        <w:t>işbu Sözleşme ve eklerindeki koşullara, özen ve sadakat yükümlülüğüne</w:t>
      </w:r>
      <w:r w:rsidR="00F41421" w:rsidRPr="00696B5D">
        <w:rPr>
          <w:rFonts w:asciiTheme="minorHAnsi" w:hAnsiTheme="minorHAnsi" w:cstheme="minorHAnsi"/>
          <w:sz w:val="22"/>
          <w:szCs w:val="22"/>
        </w:rPr>
        <w:t>,</w:t>
      </w:r>
      <w:r w:rsidRPr="00696B5D">
        <w:rPr>
          <w:rFonts w:asciiTheme="minorHAnsi" w:hAnsiTheme="minorHAnsi" w:cstheme="minorHAnsi"/>
          <w:sz w:val="22"/>
          <w:szCs w:val="22"/>
        </w:rPr>
        <w:t xml:space="preserve"> </w:t>
      </w:r>
      <w:r w:rsidR="00F41421" w:rsidRPr="00696B5D">
        <w:rPr>
          <w:rFonts w:asciiTheme="minorHAnsi" w:hAnsiTheme="minorHAnsi" w:cstheme="minorHAnsi"/>
          <w:sz w:val="22"/>
          <w:szCs w:val="22"/>
        </w:rPr>
        <w:t xml:space="preserve">TTG talep, talimat ve beklentilerine uygun </w:t>
      </w:r>
      <w:r w:rsidRPr="00696B5D">
        <w:rPr>
          <w:rFonts w:asciiTheme="minorHAnsi" w:hAnsiTheme="minorHAnsi" w:cstheme="minorHAnsi"/>
          <w:sz w:val="22"/>
          <w:szCs w:val="22"/>
        </w:rPr>
        <w:t xml:space="preserve">olarak; en yüksek kalitede, profesyonel ve ehil bir şekilde ve uluslararası alanda benimsenen uygulamalar uyarınca, TTG talep, talimat ve beklentileri ile yine TTG tarafından kendisine denetim ve gözetim yetkisi kapsamında ayrıca bildirilebilecek direktiflere uygun, </w:t>
      </w:r>
      <w:r w:rsidR="00F41421" w:rsidRPr="00696B5D">
        <w:rPr>
          <w:rFonts w:asciiTheme="minorHAnsi" w:hAnsiTheme="minorHAnsi" w:cstheme="minorHAnsi"/>
          <w:sz w:val="22"/>
          <w:szCs w:val="22"/>
        </w:rPr>
        <w:t xml:space="preserve"> </w:t>
      </w:r>
      <w:r w:rsidRPr="00696B5D">
        <w:rPr>
          <w:rFonts w:asciiTheme="minorHAnsi" w:hAnsiTheme="minorHAnsi" w:cstheme="minorHAnsi"/>
          <w:sz w:val="22"/>
          <w:szCs w:val="22"/>
        </w:rPr>
        <w:t>tam, doğru ve gereği gibi, süresinde yapma</w:t>
      </w:r>
      <w:r w:rsidR="00594B2F" w:rsidRPr="00696B5D">
        <w:rPr>
          <w:rFonts w:asciiTheme="minorHAnsi" w:hAnsiTheme="minorHAnsi" w:cstheme="minorHAnsi"/>
          <w:sz w:val="22"/>
          <w:szCs w:val="22"/>
        </w:rPr>
        <w:t>yı</w:t>
      </w:r>
      <w:r w:rsidRPr="00696B5D">
        <w:rPr>
          <w:rFonts w:asciiTheme="minorHAnsi" w:hAnsiTheme="minorHAnsi" w:cstheme="minorHAnsi"/>
          <w:sz w:val="22"/>
          <w:szCs w:val="22"/>
        </w:rPr>
        <w:t>,</w:t>
      </w:r>
    </w:p>
    <w:p w14:paraId="23223390" w14:textId="2AE75C11"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sz w:val="22"/>
          <w:szCs w:val="22"/>
        </w:rPr>
        <w:t xml:space="preserve"> Hizmetler için TTG tarafından uygun görülen ve TTG kalite ve standartlarına uygun ol</w:t>
      </w:r>
      <w:r w:rsidR="00F41421" w:rsidRPr="00696B5D">
        <w:rPr>
          <w:rFonts w:asciiTheme="minorHAnsi" w:hAnsiTheme="minorHAnsi" w:cstheme="minorHAnsi"/>
          <w:sz w:val="22"/>
          <w:szCs w:val="22"/>
        </w:rPr>
        <w:t>an</w:t>
      </w:r>
      <w:r w:rsidRPr="00696B5D">
        <w:rPr>
          <w:rFonts w:asciiTheme="minorHAnsi" w:hAnsiTheme="minorHAnsi" w:cstheme="minorHAnsi"/>
          <w:sz w:val="22"/>
          <w:szCs w:val="22"/>
        </w:rPr>
        <w:t xml:space="preserve"> yeteri kadar Personel’i temin etme</w:t>
      </w:r>
      <w:r w:rsidR="00594B2F" w:rsidRPr="00696B5D">
        <w:rPr>
          <w:rFonts w:asciiTheme="minorHAnsi" w:hAnsiTheme="minorHAnsi" w:cstheme="minorHAnsi"/>
          <w:sz w:val="22"/>
          <w:szCs w:val="22"/>
        </w:rPr>
        <w:t>yi</w:t>
      </w:r>
      <w:r w:rsidR="00F41421" w:rsidRPr="00696B5D">
        <w:rPr>
          <w:rFonts w:asciiTheme="minorHAnsi" w:hAnsiTheme="minorHAnsi" w:cstheme="minorHAnsi"/>
          <w:sz w:val="22"/>
          <w:szCs w:val="22"/>
        </w:rPr>
        <w:t>,</w:t>
      </w:r>
      <w:r w:rsidRPr="00696B5D">
        <w:rPr>
          <w:rFonts w:asciiTheme="minorHAnsi" w:hAnsiTheme="minorHAnsi" w:cstheme="minorHAnsi"/>
          <w:sz w:val="22"/>
          <w:szCs w:val="22"/>
        </w:rPr>
        <w:t xml:space="preserve"> bu Personel’e Hizmetler için gerekli eğitimleri verme</w:t>
      </w:r>
      <w:r w:rsidR="00594B2F" w:rsidRPr="00696B5D">
        <w:rPr>
          <w:rFonts w:asciiTheme="minorHAnsi" w:hAnsiTheme="minorHAnsi" w:cstheme="minorHAnsi"/>
          <w:sz w:val="22"/>
          <w:szCs w:val="22"/>
        </w:rPr>
        <w:t>yi</w:t>
      </w:r>
      <w:r w:rsidRPr="00696B5D">
        <w:rPr>
          <w:rFonts w:asciiTheme="minorHAnsi" w:hAnsiTheme="minorHAnsi" w:cstheme="minorHAnsi"/>
          <w:sz w:val="22"/>
          <w:szCs w:val="22"/>
        </w:rPr>
        <w:t xml:space="preserve"> ve onları denetleme</w:t>
      </w:r>
      <w:r w:rsidR="00594B2F" w:rsidRPr="00696B5D">
        <w:rPr>
          <w:rFonts w:asciiTheme="minorHAnsi" w:hAnsiTheme="minorHAnsi" w:cstheme="minorHAnsi"/>
          <w:sz w:val="22"/>
          <w:szCs w:val="22"/>
        </w:rPr>
        <w:t>yi</w:t>
      </w:r>
      <w:r w:rsidRPr="00696B5D">
        <w:rPr>
          <w:rFonts w:asciiTheme="minorHAnsi" w:hAnsiTheme="minorHAnsi" w:cstheme="minorHAnsi"/>
          <w:sz w:val="22"/>
          <w:szCs w:val="22"/>
        </w:rPr>
        <w:t>, buna ek olarak gerekli ekipmanı temin etme</w:t>
      </w:r>
      <w:r w:rsidR="00594B2F" w:rsidRPr="00696B5D">
        <w:rPr>
          <w:rFonts w:asciiTheme="minorHAnsi" w:hAnsiTheme="minorHAnsi" w:cstheme="minorHAnsi"/>
          <w:sz w:val="22"/>
          <w:szCs w:val="22"/>
        </w:rPr>
        <w:t>yi</w:t>
      </w:r>
      <w:r w:rsidRPr="00696B5D">
        <w:rPr>
          <w:rFonts w:asciiTheme="minorHAnsi" w:hAnsiTheme="minorHAnsi" w:cstheme="minorHAnsi"/>
          <w:sz w:val="22"/>
          <w:szCs w:val="22"/>
        </w:rPr>
        <w:t xml:space="preserve">, </w:t>
      </w:r>
    </w:p>
    <w:p w14:paraId="7220F393" w14:textId="429DF2EC" w:rsidR="009C544D" w:rsidRPr="00696B5D" w:rsidRDefault="00F41421"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sz w:val="22"/>
          <w:szCs w:val="22"/>
        </w:rPr>
        <w:t>İ</w:t>
      </w:r>
      <w:r w:rsidR="009C544D" w:rsidRPr="00696B5D">
        <w:rPr>
          <w:rFonts w:asciiTheme="minorHAnsi" w:hAnsiTheme="minorHAnsi" w:cstheme="minorHAnsi"/>
          <w:sz w:val="22"/>
          <w:szCs w:val="22"/>
        </w:rPr>
        <w:t xml:space="preserve">şbu Sözleşme ile eklerinde belirlenen </w:t>
      </w:r>
      <w:r w:rsidRPr="00696B5D">
        <w:rPr>
          <w:rFonts w:asciiTheme="minorHAnsi" w:hAnsiTheme="minorHAnsi" w:cstheme="minorHAnsi"/>
          <w:sz w:val="22"/>
          <w:szCs w:val="22"/>
        </w:rPr>
        <w:t>tüm</w:t>
      </w:r>
      <w:r w:rsidR="009C544D" w:rsidRPr="00696B5D">
        <w:rPr>
          <w:rFonts w:asciiTheme="minorHAnsi" w:hAnsiTheme="minorHAnsi" w:cstheme="minorHAnsi"/>
          <w:sz w:val="22"/>
          <w:szCs w:val="22"/>
        </w:rPr>
        <w:t xml:space="preserve"> yükümlülüklerin ifası sırasında;  TTG’ye, TTG çalışanlarına, diğer firma</w:t>
      </w:r>
      <w:r w:rsidRPr="00696B5D">
        <w:rPr>
          <w:rFonts w:asciiTheme="minorHAnsi" w:hAnsiTheme="minorHAnsi" w:cstheme="minorHAnsi"/>
          <w:sz w:val="22"/>
          <w:szCs w:val="22"/>
        </w:rPr>
        <w:t>lara</w:t>
      </w:r>
      <w:r w:rsidR="009C544D" w:rsidRPr="00696B5D">
        <w:rPr>
          <w:rFonts w:asciiTheme="minorHAnsi" w:hAnsiTheme="minorHAnsi" w:cstheme="minorHAnsi"/>
          <w:sz w:val="22"/>
          <w:szCs w:val="22"/>
        </w:rPr>
        <w:t xml:space="preserve"> ve </w:t>
      </w:r>
      <w:r w:rsidRPr="00696B5D">
        <w:rPr>
          <w:rFonts w:asciiTheme="minorHAnsi" w:hAnsiTheme="minorHAnsi" w:cstheme="minorHAnsi"/>
          <w:sz w:val="22"/>
          <w:szCs w:val="22"/>
        </w:rPr>
        <w:t xml:space="preserve">bunların </w:t>
      </w:r>
      <w:r w:rsidR="009C544D" w:rsidRPr="00696B5D">
        <w:rPr>
          <w:rFonts w:asciiTheme="minorHAnsi" w:hAnsiTheme="minorHAnsi" w:cstheme="minorHAnsi"/>
          <w:sz w:val="22"/>
          <w:szCs w:val="22"/>
        </w:rPr>
        <w:t>çalışanlarına, TTG malzeme, teçhizat ve mamelekine, altyapısına, üçüncü kişilere verdiği hasar ve zarar</w:t>
      </w:r>
      <w:r w:rsidRPr="00696B5D">
        <w:rPr>
          <w:rFonts w:asciiTheme="minorHAnsi" w:hAnsiTheme="minorHAnsi" w:cstheme="minorHAnsi"/>
          <w:sz w:val="22"/>
          <w:szCs w:val="22"/>
        </w:rPr>
        <w:t xml:space="preserve"> verilmesi halinde, tüm bu hasar ve zarar</w:t>
      </w:r>
      <w:r w:rsidR="009C544D" w:rsidRPr="00696B5D">
        <w:rPr>
          <w:rFonts w:asciiTheme="minorHAnsi" w:hAnsiTheme="minorHAnsi" w:cstheme="minorHAnsi"/>
          <w:sz w:val="22"/>
          <w:szCs w:val="22"/>
        </w:rPr>
        <w:t>ları tek başına tazmin etme</w:t>
      </w:r>
      <w:r w:rsidR="00594B2F" w:rsidRPr="00696B5D">
        <w:rPr>
          <w:rFonts w:asciiTheme="minorHAnsi" w:hAnsiTheme="minorHAnsi" w:cstheme="minorHAnsi"/>
          <w:sz w:val="22"/>
          <w:szCs w:val="22"/>
        </w:rPr>
        <w:t>yi</w:t>
      </w:r>
      <w:r w:rsidR="009C544D" w:rsidRPr="00696B5D">
        <w:rPr>
          <w:rFonts w:asciiTheme="minorHAnsi" w:hAnsiTheme="minorHAnsi" w:cstheme="minorHAnsi"/>
          <w:sz w:val="22"/>
          <w:szCs w:val="22"/>
        </w:rPr>
        <w:t>,</w:t>
      </w:r>
    </w:p>
    <w:p w14:paraId="660523DD" w14:textId="473CC38B"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sz w:val="22"/>
          <w:szCs w:val="22"/>
        </w:rPr>
        <w:t xml:space="preserve">TTG’nin, alacaklarını, Yüklenici alacaklarından herhangi bir ihbarda bulunmadan res’en takas ve mahsup hakkı saklı kalmak kaydı ile; Yüklenici’nin Uygulanacak Yasalar, Sözleşme kapsamında yükümlülüklerini gereği gibi yerine getirmemesi ve/veya </w:t>
      </w:r>
      <w:r w:rsidR="00594B2F" w:rsidRPr="00696B5D">
        <w:rPr>
          <w:rFonts w:asciiTheme="minorHAnsi" w:hAnsiTheme="minorHAnsi" w:cstheme="minorHAnsi"/>
          <w:color w:val="000000"/>
          <w:sz w:val="22"/>
          <w:szCs w:val="22"/>
        </w:rPr>
        <w:t xml:space="preserve">herhangi bir nedenle </w:t>
      </w:r>
      <w:r w:rsidRPr="00696B5D">
        <w:rPr>
          <w:rFonts w:asciiTheme="minorHAnsi" w:hAnsiTheme="minorHAnsi" w:cstheme="minorHAnsi"/>
          <w:sz w:val="22"/>
          <w:szCs w:val="22"/>
        </w:rPr>
        <w:t>TTG tarafından bir ödemede bulunulması halinde, ödenen tüm meblağları TTG’ye avans faiziyle ve diğer tüm fer’ileriyle birlikte ödeme</w:t>
      </w:r>
      <w:r w:rsidR="00594B2F" w:rsidRPr="00696B5D">
        <w:rPr>
          <w:rFonts w:asciiTheme="minorHAnsi" w:hAnsiTheme="minorHAnsi" w:cstheme="minorHAnsi"/>
          <w:sz w:val="22"/>
          <w:szCs w:val="22"/>
        </w:rPr>
        <w:t>yi</w:t>
      </w:r>
      <w:r w:rsidRPr="00696B5D">
        <w:rPr>
          <w:rFonts w:asciiTheme="minorHAnsi" w:hAnsiTheme="minorHAnsi" w:cstheme="minorHAnsi"/>
          <w:sz w:val="22"/>
          <w:szCs w:val="22"/>
        </w:rPr>
        <w:t xml:space="preserve">, </w:t>
      </w:r>
    </w:p>
    <w:p w14:paraId="6E3DC90C" w14:textId="42E09771"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Hizmetler’e ilişkin tedarik planlamasını yapma</w:t>
      </w:r>
      <w:r w:rsidR="00594B2F" w:rsidRPr="00696B5D">
        <w:rPr>
          <w:rFonts w:asciiTheme="minorHAnsi" w:hAnsiTheme="minorHAnsi" w:cstheme="minorHAnsi"/>
          <w:bCs/>
          <w:sz w:val="22"/>
          <w:szCs w:val="22"/>
        </w:rPr>
        <w:t xml:space="preserve">yı, </w:t>
      </w:r>
      <w:r w:rsidR="00594B2F" w:rsidRPr="00696B5D">
        <w:rPr>
          <w:rFonts w:asciiTheme="minorHAnsi" w:hAnsiTheme="minorHAnsi" w:cstheme="minorHAnsi"/>
          <w:sz w:val="22"/>
          <w:szCs w:val="22"/>
        </w:rPr>
        <w:t xml:space="preserve">bu konuda ve </w:t>
      </w:r>
      <w:r w:rsidR="00E57338" w:rsidRPr="00696B5D">
        <w:rPr>
          <w:rFonts w:asciiTheme="minorHAnsi" w:hAnsiTheme="minorHAnsi" w:cstheme="minorHAnsi"/>
          <w:sz w:val="22"/>
          <w:szCs w:val="22"/>
        </w:rPr>
        <w:t>Hizmetler’le/</w:t>
      </w:r>
      <w:r w:rsidR="00594B2F" w:rsidRPr="00696B5D">
        <w:rPr>
          <w:rFonts w:asciiTheme="minorHAnsi" w:hAnsiTheme="minorHAnsi" w:cstheme="minorHAnsi"/>
          <w:sz w:val="22"/>
          <w:szCs w:val="22"/>
        </w:rPr>
        <w:t>Malzemeler’le</w:t>
      </w:r>
      <w:r w:rsidRPr="00696B5D">
        <w:rPr>
          <w:rFonts w:asciiTheme="minorHAnsi" w:hAnsiTheme="minorHAnsi" w:cstheme="minorHAnsi"/>
          <w:bCs/>
          <w:sz w:val="22"/>
          <w:szCs w:val="22"/>
        </w:rPr>
        <w:t xml:space="preserve"> ilgili tüm risk ve sorumlulukları üstlenme</w:t>
      </w:r>
      <w:r w:rsidR="00594B2F" w:rsidRPr="00696B5D">
        <w:rPr>
          <w:rFonts w:asciiTheme="minorHAnsi" w:hAnsiTheme="minorHAnsi" w:cstheme="minorHAnsi"/>
          <w:bCs/>
          <w:sz w:val="22"/>
          <w:szCs w:val="22"/>
        </w:rPr>
        <w:t>yi</w:t>
      </w:r>
      <w:r w:rsidRPr="00696B5D">
        <w:rPr>
          <w:rFonts w:asciiTheme="minorHAnsi" w:hAnsiTheme="minorHAnsi" w:cstheme="minorHAnsi"/>
          <w:bCs/>
          <w:sz w:val="22"/>
          <w:szCs w:val="22"/>
        </w:rPr>
        <w:t>,</w:t>
      </w:r>
    </w:p>
    <w:p w14:paraId="5356C38D" w14:textId="3D1E949B" w:rsidR="009C544D" w:rsidRPr="00696B5D" w:rsidRDefault="00594B2F"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kern w:val="32"/>
          <w:sz w:val="22"/>
          <w:szCs w:val="22"/>
        </w:rPr>
        <w:t xml:space="preserve">TTG ile sürekli irtibat halinde olarak </w:t>
      </w:r>
      <w:r w:rsidR="009C544D" w:rsidRPr="00696B5D">
        <w:rPr>
          <w:rFonts w:asciiTheme="minorHAnsi" w:hAnsiTheme="minorHAnsi" w:cstheme="minorHAnsi"/>
          <w:bCs/>
          <w:sz w:val="22"/>
          <w:szCs w:val="22"/>
        </w:rPr>
        <w:t>TTG’yi işbu Sözleşme konusu işlerle ilgili olarak, olası sorun ve risklere karşı makul bir sürede önceden yazılı olarak uyarma</w:t>
      </w:r>
      <w:r w:rsidRPr="00696B5D">
        <w:rPr>
          <w:rFonts w:asciiTheme="minorHAnsi" w:hAnsiTheme="minorHAnsi" w:cstheme="minorHAnsi"/>
          <w:bCs/>
          <w:sz w:val="22"/>
          <w:szCs w:val="22"/>
        </w:rPr>
        <w:t>yı</w:t>
      </w:r>
      <w:r w:rsidRPr="00696B5D">
        <w:rPr>
          <w:rFonts w:asciiTheme="minorHAnsi" w:hAnsiTheme="minorHAnsi" w:cstheme="minorHAnsi"/>
          <w:sz w:val="22"/>
          <w:szCs w:val="22"/>
        </w:rPr>
        <w:t xml:space="preserve"> ve </w:t>
      </w:r>
      <w:r w:rsidRPr="00696B5D">
        <w:rPr>
          <w:rFonts w:asciiTheme="minorHAnsi" w:hAnsiTheme="minorHAnsi" w:cstheme="minorHAnsi"/>
          <w:kern w:val="32"/>
          <w:sz w:val="22"/>
          <w:szCs w:val="22"/>
        </w:rPr>
        <w:t>Sözleşme’deki yükümlülüklerinin ifası ile ilgili TTG’nin ikaz ve taleplerini anında yerine getirmeyi</w:t>
      </w:r>
      <w:r w:rsidR="009C544D" w:rsidRPr="00696B5D">
        <w:rPr>
          <w:rFonts w:asciiTheme="minorHAnsi" w:hAnsiTheme="minorHAnsi" w:cstheme="minorHAnsi"/>
          <w:bCs/>
          <w:sz w:val="22"/>
          <w:szCs w:val="22"/>
        </w:rPr>
        <w:t>,</w:t>
      </w:r>
    </w:p>
    <w:p w14:paraId="4298CB2B" w14:textId="5937CDE2"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 xml:space="preserve"> Proje Dokümantasyonu’nun TTG’nin şart, koşul ve iş ihtiyaçlarına uygun olmasını sağlama</w:t>
      </w:r>
      <w:r w:rsidR="00594B2F"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7AB70D61" w14:textId="0A8FCE2C"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Hizmetler kapsamında TTG tarafından belirlenen gerçek veya tüzel üçüncü kişiler ile işbirliği içinde bulunma</w:t>
      </w:r>
      <w:r w:rsidR="00594B2F" w:rsidRPr="00696B5D">
        <w:rPr>
          <w:rFonts w:asciiTheme="minorHAnsi" w:hAnsiTheme="minorHAnsi" w:cstheme="minorHAnsi"/>
          <w:bCs/>
          <w:sz w:val="22"/>
          <w:szCs w:val="22"/>
        </w:rPr>
        <w:t>yı</w:t>
      </w:r>
      <w:r w:rsidRPr="00696B5D">
        <w:rPr>
          <w:rFonts w:asciiTheme="minorHAnsi" w:hAnsiTheme="minorHAnsi" w:cstheme="minorHAnsi"/>
          <w:bCs/>
          <w:sz w:val="22"/>
          <w:szCs w:val="22"/>
        </w:rPr>
        <w:t>, TTG’nin çalıştırdığı herhangi başka bir firma ve üçüncü kişilere makul olan kolaylığı gösterme</w:t>
      </w:r>
      <w:r w:rsidR="00E57338" w:rsidRPr="00696B5D">
        <w:rPr>
          <w:rFonts w:asciiTheme="minorHAnsi" w:hAnsiTheme="minorHAnsi" w:cstheme="minorHAnsi"/>
          <w:bCs/>
          <w:sz w:val="22"/>
          <w:szCs w:val="22"/>
        </w:rPr>
        <w:t>yi</w:t>
      </w:r>
      <w:r w:rsidRPr="00696B5D">
        <w:rPr>
          <w:rFonts w:asciiTheme="minorHAnsi" w:hAnsiTheme="minorHAnsi" w:cstheme="minorHAnsi"/>
          <w:bCs/>
          <w:sz w:val="22"/>
          <w:szCs w:val="22"/>
        </w:rPr>
        <w:t xml:space="preserve"> ve Hizmetler’i bu diğer üçüncü kişilerin faaliyetini aksatmayacak şekilde yapma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 xml:space="preserve"> ve Hizmetler’in tümü veya bir kısmının durdurulması dâhil ancak bunlarla sınırlı olmamak üzere kendisine verilen talimatlara riayet etme</w:t>
      </w:r>
      <w:r w:rsidR="00E57338" w:rsidRPr="00696B5D">
        <w:rPr>
          <w:rFonts w:asciiTheme="minorHAnsi" w:hAnsiTheme="minorHAnsi" w:cstheme="minorHAnsi"/>
          <w:bCs/>
          <w:sz w:val="22"/>
          <w:szCs w:val="22"/>
        </w:rPr>
        <w:t>yi</w:t>
      </w:r>
      <w:r w:rsidRPr="00696B5D">
        <w:rPr>
          <w:rFonts w:asciiTheme="minorHAnsi" w:hAnsiTheme="minorHAnsi" w:cstheme="minorHAnsi"/>
          <w:bCs/>
          <w:sz w:val="22"/>
          <w:szCs w:val="22"/>
        </w:rPr>
        <w:t>,</w:t>
      </w:r>
    </w:p>
    <w:p w14:paraId="5B893D7E" w14:textId="66F839B9"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Hizmetler için üçüncü kişilerden bir yazılım/donanım/sistem/hizmet tedarik edilmesi gerektiğinde bunları sadece TTG’nin yazılı onay verdiği şartlarda temin etme</w:t>
      </w:r>
      <w:r w:rsidR="00E57338" w:rsidRPr="00696B5D">
        <w:rPr>
          <w:rFonts w:asciiTheme="minorHAnsi" w:hAnsiTheme="minorHAnsi" w:cstheme="minorHAnsi"/>
          <w:bCs/>
          <w:sz w:val="22"/>
          <w:szCs w:val="22"/>
        </w:rPr>
        <w:t>yi</w:t>
      </w:r>
      <w:r w:rsidRPr="00696B5D">
        <w:rPr>
          <w:rFonts w:asciiTheme="minorHAnsi" w:hAnsiTheme="minorHAnsi" w:cstheme="minorHAnsi"/>
          <w:bCs/>
          <w:sz w:val="22"/>
          <w:szCs w:val="22"/>
        </w:rPr>
        <w:t xml:space="preserve"> ve TTG’nin ihtiyaçları doğrultusunda söz konusu tedariğin devamlılığını sağlama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3B090355" w14:textId="25AB0B94"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TTG tarafından talep edilmesi halinde Hizmetler’in sunumu için kullanılan tüm malzemelerin Hizmet’in devamlılığına uygun nitelikte olacak şekilde bakım-onarımını yaptırma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63D1B7AE" w14:textId="2DE7F0E0"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Kendisi, temsilcileri ve/veya Personeli’nin, TTG’nin yazılı izni olmaksızın doğrudan ya da dolaylı olarak Türkiye Cumhuriyeti sınırları içerisinde kendilerine işbu Sözleşme altındaki faaliyetler ile menfaat çatışmasına yol açacak şekilde herhangi bir faaliyetle iştigal etmemesini sağlama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7F808C50" w14:textId="31E1D076"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Önceden TTG’den yazılı izin almadan</w:t>
      </w:r>
      <w:r w:rsidR="00E57338" w:rsidRPr="00696B5D">
        <w:rPr>
          <w:rFonts w:asciiTheme="minorHAnsi" w:hAnsiTheme="minorHAnsi" w:cstheme="minorHAnsi"/>
          <w:bCs/>
          <w:sz w:val="22"/>
          <w:szCs w:val="22"/>
        </w:rPr>
        <w:t>,</w:t>
      </w:r>
      <w:r w:rsidRPr="00696B5D">
        <w:rPr>
          <w:rFonts w:asciiTheme="minorHAnsi" w:hAnsiTheme="minorHAnsi" w:cstheme="minorHAnsi"/>
          <w:bCs/>
          <w:sz w:val="22"/>
          <w:szCs w:val="22"/>
        </w:rPr>
        <w:t xml:space="preserve"> basına, medyaya, kamuoyuna ya da herhangi bir üçüncü kurum, kuruluşa Sözleşme kapsamındaki Hizmetler ile ilgili olarak hiçbir reklam, tanıtım ya da halkla ilişkiler faaliyeti / kampanyası gerçekleştirmeme</w:t>
      </w:r>
      <w:r w:rsidR="00E57338" w:rsidRPr="00696B5D">
        <w:rPr>
          <w:rFonts w:asciiTheme="minorHAnsi" w:hAnsiTheme="minorHAnsi" w:cstheme="minorHAnsi"/>
          <w:bCs/>
          <w:sz w:val="22"/>
          <w:szCs w:val="22"/>
        </w:rPr>
        <w:t>yi</w:t>
      </w:r>
      <w:r w:rsidRPr="00696B5D">
        <w:rPr>
          <w:rFonts w:asciiTheme="minorHAnsi" w:hAnsiTheme="minorHAnsi" w:cstheme="minorHAnsi"/>
          <w:bCs/>
          <w:sz w:val="22"/>
          <w:szCs w:val="22"/>
        </w:rPr>
        <w:t xml:space="preserve"> ve/veya beyanlarda bulunmama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 xml:space="preserve"> ve</w:t>
      </w:r>
      <w:r w:rsidR="00E57338" w:rsidRPr="00696B5D">
        <w:rPr>
          <w:rFonts w:asciiTheme="minorHAnsi" w:hAnsiTheme="minorHAnsi" w:cstheme="minorHAnsi"/>
          <w:bCs/>
          <w:sz w:val="22"/>
          <w:szCs w:val="22"/>
        </w:rPr>
        <w:t>/veya</w:t>
      </w:r>
      <w:r w:rsidRPr="00696B5D">
        <w:rPr>
          <w:rFonts w:asciiTheme="minorHAnsi" w:hAnsiTheme="minorHAnsi" w:cstheme="minorHAnsi"/>
          <w:bCs/>
          <w:sz w:val="22"/>
          <w:szCs w:val="22"/>
        </w:rPr>
        <w:t xml:space="preserve"> TTG’nin logo ve </w:t>
      </w:r>
      <w:r w:rsidR="00E57338" w:rsidRPr="00696B5D">
        <w:rPr>
          <w:rFonts w:asciiTheme="minorHAnsi" w:hAnsiTheme="minorHAnsi" w:cstheme="minorHAnsi"/>
          <w:bCs/>
          <w:sz w:val="22"/>
          <w:szCs w:val="22"/>
        </w:rPr>
        <w:t>ü</w:t>
      </w:r>
      <w:r w:rsidRPr="00696B5D">
        <w:rPr>
          <w:rFonts w:asciiTheme="minorHAnsi" w:hAnsiTheme="minorHAnsi" w:cstheme="minorHAnsi"/>
          <w:bCs/>
          <w:sz w:val="22"/>
          <w:szCs w:val="22"/>
        </w:rPr>
        <w:t>nvanını kullanmama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0193CDCE" w14:textId="6F48ECE6" w:rsidR="009C544D" w:rsidRPr="00696B5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bCs/>
          <w:sz w:val="22"/>
          <w:szCs w:val="22"/>
        </w:rPr>
        <w:t>Proje süresi boyunca beher Proje için TTG’ye tahsis ettiği kaynakları TTG ile aynı sektörde çalışan ve/veya ürünleri ya da Hizmetler’i telekomünikasyon sektöründe faaliyet gösteren bir şirkete ya da bunun iştirak veya grup şirketlerine doğrudan ya da dolaylı olarak kullandırmama</w:t>
      </w:r>
      <w:r w:rsidR="00E57338" w:rsidRPr="00696B5D">
        <w:rPr>
          <w:rFonts w:asciiTheme="minorHAnsi" w:hAnsiTheme="minorHAnsi" w:cstheme="minorHAnsi"/>
          <w:bCs/>
          <w:sz w:val="22"/>
          <w:szCs w:val="22"/>
        </w:rPr>
        <w:t>yı</w:t>
      </w:r>
      <w:r w:rsidRPr="00696B5D">
        <w:rPr>
          <w:rFonts w:asciiTheme="minorHAnsi" w:hAnsiTheme="minorHAnsi" w:cstheme="minorHAnsi"/>
          <w:bCs/>
          <w:sz w:val="22"/>
          <w:szCs w:val="22"/>
        </w:rPr>
        <w:t>,</w:t>
      </w:r>
    </w:p>
    <w:p w14:paraId="3FFDCDBC" w14:textId="4C555282" w:rsidR="009C544D" w:rsidRPr="00C22E38"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C22E38">
        <w:rPr>
          <w:rFonts w:asciiTheme="minorHAnsi" w:hAnsiTheme="minorHAnsi" w:cstheme="minorHAnsi"/>
          <w:bCs/>
          <w:sz w:val="22"/>
          <w:szCs w:val="22"/>
        </w:rPr>
        <w:lastRenderedPageBreak/>
        <w:t>TTG’nin Hizmetler’i yazılı bildirim üzerine dilediğinde geçici olarak durdurması durumunda, Yüklenici gerekli tedbirleri alma</w:t>
      </w:r>
      <w:r w:rsidR="00E57338" w:rsidRPr="00C22E38">
        <w:rPr>
          <w:rFonts w:asciiTheme="minorHAnsi" w:hAnsiTheme="minorHAnsi" w:cstheme="minorHAnsi"/>
          <w:bCs/>
          <w:sz w:val="22"/>
          <w:szCs w:val="22"/>
        </w:rPr>
        <w:t>yı</w:t>
      </w:r>
      <w:r w:rsidRPr="00C22E38">
        <w:rPr>
          <w:rFonts w:asciiTheme="minorHAnsi" w:hAnsiTheme="minorHAnsi" w:cstheme="minorHAnsi"/>
          <w:bCs/>
          <w:sz w:val="22"/>
          <w:szCs w:val="22"/>
        </w:rPr>
        <w:t xml:space="preserve"> ve TTG’nin talimatlarına uyma</w:t>
      </w:r>
      <w:r w:rsidR="00E57338" w:rsidRPr="00C22E38">
        <w:rPr>
          <w:rFonts w:asciiTheme="minorHAnsi" w:hAnsiTheme="minorHAnsi" w:cstheme="minorHAnsi"/>
          <w:bCs/>
          <w:sz w:val="22"/>
          <w:szCs w:val="22"/>
        </w:rPr>
        <w:t>yı</w:t>
      </w:r>
      <w:r w:rsidRPr="00C22E38">
        <w:rPr>
          <w:rFonts w:asciiTheme="minorHAnsi" w:hAnsiTheme="minorHAnsi" w:cstheme="minorHAnsi"/>
          <w:bCs/>
          <w:sz w:val="22"/>
          <w:szCs w:val="22"/>
        </w:rPr>
        <w:t>, bu talimatının sona ermesi ile gecikmeden Hizmetler’e devam etme</w:t>
      </w:r>
      <w:r w:rsidR="00E57338" w:rsidRPr="00C22E38">
        <w:rPr>
          <w:rFonts w:asciiTheme="minorHAnsi" w:hAnsiTheme="minorHAnsi" w:cstheme="minorHAnsi"/>
          <w:bCs/>
          <w:sz w:val="22"/>
          <w:szCs w:val="22"/>
        </w:rPr>
        <w:t>yi</w:t>
      </w:r>
      <w:r w:rsidRPr="00C22E38">
        <w:rPr>
          <w:rFonts w:asciiTheme="minorHAnsi" w:hAnsiTheme="minorHAnsi" w:cstheme="minorHAnsi"/>
          <w:bCs/>
          <w:sz w:val="22"/>
          <w:szCs w:val="22"/>
        </w:rPr>
        <w:t>, bu sebeple herhangi bir aksaklığa sebep olmama</w:t>
      </w:r>
      <w:r w:rsidR="00E57338" w:rsidRPr="00C22E38">
        <w:rPr>
          <w:rFonts w:asciiTheme="minorHAnsi" w:hAnsiTheme="minorHAnsi" w:cstheme="minorHAnsi"/>
          <w:bCs/>
          <w:sz w:val="22"/>
          <w:szCs w:val="22"/>
        </w:rPr>
        <w:t>yı</w:t>
      </w:r>
      <w:r w:rsidRPr="00C22E38">
        <w:rPr>
          <w:rFonts w:asciiTheme="minorHAnsi" w:hAnsiTheme="minorHAnsi" w:cstheme="minorHAnsi"/>
          <w:bCs/>
          <w:sz w:val="22"/>
          <w:szCs w:val="22"/>
        </w:rPr>
        <w:t>,</w:t>
      </w:r>
    </w:p>
    <w:p w14:paraId="06CA8A31" w14:textId="46C630F2" w:rsidR="009C544D" w:rsidRPr="00C22E38" w:rsidRDefault="009C544D" w:rsidP="00696B5D">
      <w:pPr>
        <w:pStyle w:val="ListParagraph"/>
        <w:numPr>
          <w:ilvl w:val="2"/>
          <w:numId w:val="3"/>
        </w:numPr>
        <w:spacing w:line="276" w:lineRule="auto"/>
        <w:ind w:left="0" w:firstLine="0"/>
        <w:jc w:val="both"/>
        <w:rPr>
          <w:rFonts w:asciiTheme="minorHAnsi" w:hAnsiTheme="minorHAnsi" w:cstheme="minorHAnsi"/>
          <w:sz w:val="22"/>
          <w:szCs w:val="22"/>
        </w:rPr>
      </w:pPr>
      <w:r w:rsidRPr="00C22E38">
        <w:rPr>
          <w:rFonts w:asciiTheme="minorHAnsi" w:hAnsiTheme="minorHAnsi" w:cstheme="minorHAnsi"/>
          <w:sz w:val="22"/>
          <w:szCs w:val="22"/>
        </w:rPr>
        <w:t>Yükümlülüklerin (Hizmetler’in ithali ve TTG tarafından talep edilen yerlerde teslimi gibi)  ifası için alınması gereken her türlü resmi izin (lisans, ruhsat, yetki belgesi) ve belgeyi masrafı münhasıran kendisine ait olmak üzere zamanında temin etme</w:t>
      </w:r>
      <w:r w:rsidR="00E57338" w:rsidRPr="00C22E38">
        <w:rPr>
          <w:rFonts w:asciiTheme="minorHAnsi" w:hAnsiTheme="minorHAnsi" w:cstheme="minorHAnsi"/>
          <w:sz w:val="22"/>
          <w:szCs w:val="22"/>
        </w:rPr>
        <w:t>yi</w:t>
      </w:r>
      <w:r w:rsidRPr="00C22E38">
        <w:rPr>
          <w:rFonts w:asciiTheme="minorHAnsi" w:hAnsiTheme="minorHAnsi" w:cstheme="minorHAnsi"/>
          <w:sz w:val="22"/>
          <w:szCs w:val="22"/>
        </w:rPr>
        <w:t xml:space="preserve"> ve ilk talebi halinde TTG’ye bunları ibraz etme</w:t>
      </w:r>
      <w:r w:rsidR="00E57338" w:rsidRPr="00C22E38">
        <w:rPr>
          <w:rFonts w:asciiTheme="minorHAnsi" w:hAnsiTheme="minorHAnsi" w:cstheme="minorHAnsi"/>
          <w:sz w:val="22"/>
          <w:szCs w:val="22"/>
        </w:rPr>
        <w:t>yi</w:t>
      </w:r>
      <w:r w:rsidRPr="00C22E38">
        <w:rPr>
          <w:rFonts w:asciiTheme="minorHAnsi" w:hAnsiTheme="minorHAnsi" w:cstheme="minorHAnsi"/>
          <w:sz w:val="22"/>
          <w:szCs w:val="22"/>
        </w:rPr>
        <w:t>,</w:t>
      </w:r>
    </w:p>
    <w:p w14:paraId="6F0F8E5E" w14:textId="212CABE7" w:rsidR="005170BE" w:rsidRPr="00C22E38" w:rsidRDefault="005170BE" w:rsidP="00696B5D">
      <w:pPr>
        <w:pStyle w:val="ListParagraph"/>
        <w:numPr>
          <w:ilvl w:val="2"/>
          <w:numId w:val="3"/>
        </w:numPr>
        <w:spacing w:line="276" w:lineRule="auto"/>
        <w:ind w:left="0" w:firstLine="0"/>
        <w:jc w:val="both"/>
        <w:rPr>
          <w:rFonts w:asciiTheme="minorHAnsi" w:hAnsiTheme="minorHAnsi" w:cstheme="minorHAnsi"/>
          <w:sz w:val="22"/>
          <w:szCs w:val="22"/>
        </w:rPr>
      </w:pPr>
      <w:r w:rsidRPr="00C22E38">
        <w:rPr>
          <w:rFonts w:asciiTheme="minorHAnsi" w:hAnsiTheme="minorHAnsi" w:cstheme="minorHAnsi"/>
          <w:kern w:val="32"/>
          <w:sz w:val="22"/>
          <w:szCs w:val="22"/>
        </w:rPr>
        <w:t xml:space="preserve">TTG ile sürekli irtibat halinde olarak </w:t>
      </w:r>
      <w:r w:rsidR="009C544D" w:rsidRPr="00C22E38">
        <w:rPr>
          <w:rFonts w:asciiTheme="minorHAnsi" w:hAnsiTheme="minorHAnsi" w:cstheme="minorHAnsi"/>
          <w:sz w:val="22"/>
          <w:szCs w:val="22"/>
        </w:rPr>
        <w:t>TTG’yi olası sorun ve risklere karşı önceden yazılı olarak uyarma</w:t>
      </w:r>
      <w:r w:rsidRPr="00C22E38">
        <w:rPr>
          <w:rFonts w:asciiTheme="minorHAnsi" w:hAnsiTheme="minorHAnsi" w:cstheme="minorHAnsi"/>
          <w:sz w:val="22"/>
          <w:szCs w:val="22"/>
        </w:rPr>
        <w:t xml:space="preserve">yı ve </w:t>
      </w:r>
      <w:r w:rsidRPr="00C22E38">
        <w:rPr>
          <w:rFonts w:asciiTheme="minorHAnsi" w:hAnsiTheme="minorHAnsi" w:cstheme="minorHAnsi"/>
          <w:kern w:val="32"/>
          <w:sz w:val="22"/>
          <w:szCs w:val="22"/>
        </w:rPr>
        <w:t>Sözleşme’deki yükümlülüklerinin ifası ile ilgili TTG’nin ikaz ve taleplerini anında yerine getirmeyi</w:t>
      </w:r>
      <w:r w:rsidRPr="00C22E38">
        <w:rPr>
          <w:rFonts w:asciiTheme="minorHAnsi" w:hAnsiTheme="minorHAnsi" w:cstheme="minorHAnsi"/>
          <w:sz w:val="22"/>
          <w:szCs w:val="22"/>
        </w:rPr>
        <w:t>,</w:t>
      </w:r>
    </w:p>
    <w:p w14:paraId="3E5FA92A" w14:textId="5D7AA822" w:rsidR="009C544D" w:rsidRDefault="009C544D" w:rsidP="00696B5D">
      <w:pPr>
        <w:pStyle w:val="ListParagraph"/>
        <w:numPr>
          <w:ilvl w:val="2"/>
          <w:numId w:val="3"/>
        </w:numPr>
        <w:spacing w:line="276" w:lineRule="auto"/>
        <w:ind w:left="0" w:firstLine="0"/>
        <w:jc w:val="both"/>
        <w:rPr>
          <w:rFonts w:asciiTheme="minorHAnsi" w:hAnsiTheme="minorHAnsi" w:cstheme="minorHAnsi"/>
          <w:sz w:val="22"/>
          <w:szCs w:val="22"/>
        </w:rPr>
      </w:pPr>
      <w:r w:rsidRPr="00C22E38">
        <w:rPr>
          <w:rFonts w:asciiTheme="minorHAnsi" w:hAnsiTheme="minorHAnsi" w:cstheme="minorHAnsi"/>
          <w:sz w:val="22"/>
          <w:szCs w:val="22"/>
        </w:rPr>
        <w:t>İşbu Sözleşme ve bu Sözleşme kapsamında imzalanacak olan Satınalma Siparişi konusu Hizmetler dışında TTG adına ve hesabına hiçbir işlem yapamama</w:t>
      </w:r>
      <w:r w:rsidR="005170BE" w:rsidRPr="00C22E38">
        <w:rPr>
          <w:rFonts w:asciiTheme="minorHAnsi" w:hAnsiTheme="minorHAnsi" w:cstheme="minorHAnsi"/>
          <w:sz w:val="22"/>
          <w:szCs w:val="22"/>
        </w:rPr>
        <w:t>yı</w:t>
      </w:r>
      <w:r w:rsidRPr="00C22E38">
        <w:rPr>
          <w:rFonts w:asciiTheme="minorHAnsi" w:hAnsiTheme="minorHAnsi" w:cstheme="minorHAnsi"/>
          <w:sz w:val="22"/>
          <w:szCs w:val="22"/>
        </w:rPr>
        <w:t>, TTG’yi her ne nam altında olursa olsun borç altına sokmama</w:t>
      </w:r>
      <w:r w:rsidR="005170BE" w:rsidRPr="00C22E38">
        <w:rPr>
          <w:rFonts w:asciiTheme="minorHAnsi" w:hAnsiTheme="minorHAnsi" w:cstheme="minorHAnsi"/>
          <w:sz w:val="22"/>
          <w:szCs w:val="22"/>
        </w:rPr>
        <w:t>yı</w:t>
      </w:r>
      <w:r w:rsidRPr="00C22E38">
        <w:rPr>
          <w:rFonts w:asciiTheme="minorHAnsi" w:hAnsiTheme="minorHAnsi" w:cstheme="minorHAnsi"/>
          <w:sz w:val="22"/>
          <w:szCs w:val="22"/>
        </w:rPr>
        <w:t>, TTG’ye herhangi bir mükellefiyet yüklememe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 TTG’ye ait her türlü hak üzerinde herhangi bir sınırlı ayni hak tesis edememe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 xml:space="preserve"> veya TTG tarafından yetki verilmedikçe, Sözleşme konusu faaliyetlerle ilgili olarak hiç bir surette vaatlerde bulunmama</w:t>
      </w:r>
      <w:r w:rsidR="005170BE" w:rsidRPr="00C22E38">
        <w:rPr>
          <w:rFonts w:asciiTheme="minorHAnsi" w:hAnsiTheme="minorHAnsi" w:cstheme="minorHAnsi"/>
          <w:sz w:val="22"/>
          <w:szCs w:val="22"/>
        </w:rPr>
        <w:t>yı</w:t>
      </w:r>
      <w:r w:rsidRPr="00C22E38">
        <w:rPr>
          <w:rFonts w:asciiTheme="minorHAnsi" w:hAnsiTheme="minorHAnsi" w:cstheme="minorHAnsi"/>
          <w:sz w:val="22"/>
          <w:szCs w:val="22"/>
        </w:rPr>
        <w:t xml:space="preserve"> veya garanti vermeme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w:t>
      </w:r>
    </w:p>
    <w:p w14:paraId="6EC47FA9" w14:textId="77777777" w:rsidR="00C22E38" w:rsidRPr="00C22E38" w:rsidRDefault="00C22E38" w:rsidP="00C22E38">
      <w:pPr>
        <w:pStyle w:val="ListParagraph"/>
        <w:spacing w:line="276" w:lineRule="auto"/>
        <w:ind w:left="0"/>
        <w:jc w:val="both"/>
        <w:rPr>
          <w:rFonts w:asciiTheme="minorHAnsi" w:hAnsiTheme="minorHAnsi" w:cstheme="minorHAnsi"/>
          <w:sz w:val="22"/>
          <w:szCs w:val="22"/>
        </w:rPr>
      </w:pPr>
    </w:p>
    <w:p w14:paraId="346DC5ED" w14:textId="77777777" w:rsidR="00C22E38" w:rsidRPr="00C22E38" w:rsidRDefault="00C22E38" w:rsidP="00C22E38">
      <w:pPr>
        <w:pStyle w:val="ListParagraph"/>
        <w:numPr>
          <w:ilvl w:val="2"/>
          <w:numId w:val="3"/>
        </w:numPr>
        <w:ind w:left="0" w:firstLine="0"/>
        <w:jc w:val="both"/>
        <w:rPr>
          <w:rFonts w:ascii="Calibri" w:hAnsi="Calibri" w:cs="Arial"/>
          <w:sz w:val="22"/>
          <w:szCs w:val="22"/>
        </w:rPr>
      </w:pPr>
      <w:r w:rsidRPr="00C22E38">
        <w:rPr>
          <w:rFonts w:ascii="Calibri" w:hAnsi="Calibri" w:cs="Arial"/>
          <w:sz w:val="22"/>
          <w:szCs w:val="22"/>
        </w:rPr>
        <w:t>Kendi bünyesinde istihdam edilmiş olan personele, Hizmetler’in gerekleri doğrultusunda seminer ve eğitim verileceğini,</w:t>
      </w:r>
    </w:p>
    <w:p w14:paraId="724EDE99" w14:textId="77777777" w:rsidR="00C22E38" w:rsidRPr="00C22E38" w:rsidRDefault="00C22E38" w:rsidP="00C22E38">
      <w:pPr>
        <w:pStyle w:val="ListParagraph"/>
        <w:ind w:left="0"/>
        <w:jc w:val="both"/>
        <w:rPr>
          <w:rFonts w:ascii="Calibri" w:hAnsi="Calibri" w:cs="Arial"/>
          <w:sz w:val="22"/>
          <w:szCs w:val="22"/>
        </w:rPr>
      </w:pPr>
    </w:p>
    <w:p w14:paraId="56BE9B0D" w14:textId="77777777" w:rsidR="00C22E38" w:rsidRPr="00C22E38" w:rsidRDefault="00C22E38" w:rsidP="00C22E38">
      <w:pPr>
        <w:pStyle w:val="ListParagraph"/>
        <w:numPr>
          <w:ilvl w:val="2"/>
          <w:numId w:val="3"/>
        </w:numPr>
        <w:ind w:left="0" w:firstLine="0"/>
        <w:jc w:val="both"/>
        <w:rPr>
          <w:rFonts w:ascii="Calibri" w:hAnsi="Calibri" w:cs="Arial"/>
          <w:sz w:val="22"/>
          <w:szCs w:val="22"/>
        </w:rPr>
      </w:pPr>
      <w:r w:rsidRPr="00C22E38">
        <w:rPr>
          <w:rFonts w:ascii="Calibri" w:hAnsi="Calibri" w:cs="Arial"/>
          <w:sz w:val="22"/>
          <w:szCs w:val="22"/>
        </w:rPr>
        <w:t>TTG’ye vereceği Hizmetler için görevlendireceği personelin her türlü fiil ve davranışlarından sorumlu olacağını,</w:t>
      </w:r>
    </w:p>
    <w:p w14:paraId="694F2B25" w14:textId="77777777" w:rsidR="00C22E38" w:rsidRPr="00C22E38" w:rsidRDefault="00C22E38" w:rsidP="00C22E38">
      <w:pPr>
        <w:pStyle w:val="ListParagraph"/>
        <w:ind w:left="0"/>
        <w:jc w:val="both"/>
        <w:rPr>
          <w:rFonts w:ascii="Calibri" w:hAnsi="Calibri" w:cs="Arial"/>
          <w:sz w:val="22"/>
          <w:szCs w:val="22"/>
        </w:rPr>
      </w:pPr>
    </w:p>
    <w:p w14:paraId="1D371A16" w14:textId="77777777" w:rsidR="00C22E38" w:rsidRPr="00C22E38" w:rsidRDefault="00C22E38" w:rsidP="00C22E38">
      <w:pPr>
        <w:pStyle w:val="ListParagraph"/>
        <w:numPr>
          <w:ilvl w:val="2"/>
          <w:numId w:val="3"/>
        </w:numPr>
        <w:ind w:left="0" w:firstLine="0"/>
        <w:jc w:val="both"/>
        <w:rPr>
          <w:rFonts w:ascii="Calibri" w:hAnsi="Calibri" w:cs="Arial"/>
          <w:sz w:val="22"/>
          <w:szCs w:val="22"/>
        </w:rPr>
      </w:pPr>
      <w:r w:rsidRPr="00C22E38">
        <w:rPr>
          <w:rFonts w:ascii="Calibri" w:hAnsi="Calibri" w:cs="Arial"/>
          <w:sz w:val="22"/>
          <w:szCs w:val="22"/>
        </w:rPr>
        <w:t>TTG’nin Yüklenici tarafından istihdam edilerek TTG’ye vereceği Hizmetler için görevlendiriln personelin herhangi bir zamanda ve herhangi bir nedenle başka bir personel ile değiştirilmesi gerektiği takdirde ilgili personeli aynı nitelik ve özelliklerde başka bir personel ile en geç 7 (yedi) gün içinde değiştirmeyi,</w:t>
      </w:r>
    </w:p>
    <w:p w14:paraId="65F08A31" w14:textId="77777777" w:rsidR="00C22E38" w:rsidRPr="00C22E38" w:rsidRDefault="00C22E38" w:rsidP="00C22E38">
      <w:pPr>
        <w:pStyle w:val="ListParagraph"/>
        <w:ind w:left="0"/>
        <w:jc w:val="both"/>
        <w:rPr>
          <w:rFonts w:ascii="Calibri" w:hAnsi="Calibri" w:cs="Arial"/>
          <w:sz w:val="22"/>
          <w:szCs w:val="22"/>
        </w:rPr>
      </w:pPr>
    </w:p>
    <w:p w14:paraId="57F26F96" w14:textId="77777777" w:rsidR="00C22E38" w:rsidRPr="00C22E38" w:rsidRDefault="00C22E38" w:rsidP="00C22E38">
      <w:pPr>
        <w:pStyle w:val="ListParagraph"/>
        <w:numPr>
          <w:ilvl w:val="2"/>
          <w:numId w:val="3"/>
        </w:numPr>
        <w:ind w:left="0" w:firstLine="0"/>
        <w:jc w:val="both"/>
        <w:rPr>
          <w:rFonts w:ascii="Calibri" w:hAnsi="Calibri" w:cs="Arial"/>
          <w:sz w:val="22"/>
          <w:szCs w:val="22"/>
        </w:rPr>
      </w:pPr>
      <w:r w:rsidRPr="00C22E38">
        <w:rPr>
          <w:rFonts w:ascii="Calibri" w:hAnsi="Calibri" w:cs="Arial"/>
          <w:sz w:val="22"/>
          <w:szCs w:val="22"/>
        </w:rPr>
        <w:t>Hizmetler’in sunumu kapsamında TTG tarafından kural ve ilkelere uyulmasını sağlayacağını; işbu Sözleşme kapsamındaki Hizmetler’i sunacak herhangi bir personelinin yetersiz, suistimal edici, Sözleşme hükümlerine uymayan davranışının bulunması halinde ya da TTG personeline ya da üçüncü gerçek ve tüzel kişilere, teçhizatına, yazılımlara zarar verecek davranışlarda bulunması halinde veya çevre güvenliği, sağlık ya da genel asayişe uymayan davranışlarda bulunması halinde tüm sorumluluğun Yüklenici’ye ait olacağını ve Yüklenici’nin söz konusu görevli personelini en geç 3 (üç) gün içerisinde değiştireceğini; işin devmı süresince her zaman için çalışan ve işle ilgili olan bütün personelin kanun ve nizamlara aykırı, işin devamını engelleyici harekette bulunmamaları için her türlü tedbiri alacağını,</w:t>
      </w:r>
    </w:p>
    <w:p w14:paraId="0AAFBC04" w14:textId="77777777" w:rsidR="00C22E38" w:rsidRPr="00C22E38" w:rsidRDefault="00C22E38" w:rsidP="00C22E38">
      <w:pPr>
        <w:pStyle w:val="ListParagraph"/>
        <w:ind w:left="0"/>
        <w:jc w:val="both"/>
        <w:rPr>
          <w:rFonts w:ascii="Calibri" w:hAnsi="Calibri" w:cs="Arial"/>
          <w:sz w:val="22"/>
          <w:szCs w:val="22"/>
        </w:rPr>
      </w:pPr>
    </w:p>
    <w:p w14:paraId="12CC95DC" w14:textId="16A2D51C" w:rsidR="00C22E38" w:rsidRPr="00C22E38" w:rsidRDefault="00325470" w:rsidP="00C22E38">
      <w:pPr>
        <w:pStyle w:val="ListParagraph"/>
        <w:numPr>
          <w:ilvl w:val="2"/>
          <w:numId w:val="3"/>
        </w:numPr>
        <w:ind w:left="0" w:firstLine="0"/>
        <w:jc w:val="both"/>
        <w:rPr>
          <w:rFonts w:ascii="Calibri" w:hAnsi="Calibri" w:cs="Arial"/>
          <w:sz w:val="22"/>
          <w:szCs w:val="22"/>
        </w:rPr>
      </w:pPr>
      <w:r>
        <w:rPr>
          <w:rFonts w:ascii="Calibri" w:hAnsi="Calibri" w:cs="Arial"/>
          <w:sz w:val="22"/>
          <w:szCs w:val="22"/>
        </w:rPr>
        <w:t>Sözleş</w:t>
      </w:r>
      <w:r w:rsidR="00C22E38" w:rsidRPr="00C22E38">
        <w:rPr>
          <w:rFonts w:ascii="Calibri" w:hAnsi="Calibri" w:cs="Arial"/>
          <w:sz w:val="22"/>
          <w:szCs w:val="22"/>
        </w:rPr>
        <w:t>me konusu Hizmetler’in ifa edileceği yerlerde kendisinin ve/veya personelinin ihmal ve kusurlarından dolayı TTG’nin ve/veya personelinin ve/veya üçüncü şahısların ya da kendi çalışanlarının uğrayacağı zararlardan doğrudan doğruya işveen sıfatıyla sorumlu olduğunu; Borçlar Kanununu’nun ilgili maddelerinde düzenlenmiş olan “Adam Çalıştıranın Sorumluluğu” hükümleri gereği tüm sorumluluğun tek başına ve münhasıran işveren sıfatıyla kendisine ait olduğunu,</w:t>
      </w:r>
    </w:p>
    <w:p w14:paraId="4D9DD96F" w14:textId="77777777" w:rsidR="00C22E38" w:rsidRPr="00C22E38" w:rsidRDefault="00C22E38" w:rsidP="00C22E38">
      <w:pPr>
        <w:pStyle w:val="ListParagraph"/>
        <w:ind w:left="0"/>
        <w:jc w:val="both"/>
        <w:rPr>
          <w:rFonts w:ascii="Calibri" w:hAnsi="Calibri" w:cs="Arial"/>
          <w:sz w:val="22"/>
          <w:szCs w:val="22"/>
        </w:rPr>
      </w:pPr>
    </w:p>
    <w:p w14:paraId="3BAB6039" w14:textId="77777777" w:rsidR="00C22E38" w:rsidRPr="00C22E38" w:rsidRDefault="00C22E38" w:rsidP="00C22E38">
      <w:pPr>
        <w:pStyle w:val="ListParagraph"/>
        <w:numPr>
          <w:ilvl w:val="2"/>
          <w:numId w:val="3"/>
        </w:numPr>
        <w:ind w:left="0" w:firstLine="0"/>
        <w:jc w:val="both"/>
        <w:rPr>
          <w:rFonts w:ascii="Calibri" w:hAnsi="Calibri" w:cs="Arial"/>
          <w:sz w:val="22"/>
          <w:szCs w:val="22"/>
        </w:rPr>
      </w:pPr>
      <w:r w:rsidRPr="00C22E38">
        <w:rPr>
          <w:rFonts w:ascii="Calibri" w:hAnsi="Calibri" w:cs="Arial"/>
          <w:sz w:val="22"/>
          <w:szCs w:val="22"/>
        </w:rPr>
        <w:t>Çalıştırdığı personelin ücretlerini ve varsa diğer işçilik haklarını yasalara uygun olarak, eksiksiz, tam olarak ve zamanında ödeyeceğni; çalıştırdığı işçilerin iş sözleşmeleri, İş Kanunu, Sosyal Sigortalar ve Genel Sağlık Sigortası Kanunu ve ilgil diğer mevzuat hükümlerinden kaynaklanan, Sözleşme’nin imzalanmasından sonra doğan ücret ve diğer yükümlülüklerini eksiksiz yerine getireceğini, gelir vergisi, sosyal sigorta primi, işsizlik sigortası gibi kesintileri ilgili Kurumlara zamanında yatıracağını,</w:t>
      </w:r>
    </w:p>
    <w:p w14:paraId="77A1DD5A" w14:textId="77777777" w:rsidR="00C22E38" w:rsidRPr="00C22E38" w:rsidRDefault="00C22E38" w:rsidP="00C22E38">
      <w:pPr>
        <w:pStyle w:val="ListParagraph"/>
        <w:spacing w:line="276" w:lineRule="auto"/>
        <w:ind w:left="0"/>
        <w:jc w:val="both"/>
        <w:rPr>
          <w:rFonts w:asciiTheme="minorHAnsi" w:hAnsiTheme="minorHAnsi" w:cstheme="minorHAnsi"/>
          <w:sz w:val="22"/>
          <w:szCs w:val="22"/>
        </w:rPr>
      </w:pPr>
    </w:p>
    <w:p w14:paraId="76E97A22" w14:textId="21DAC64E" w:rsidR="009C544D" w:rsidRPr="00C22E38" w:rsidRDefault="009C544D" w:rsidP="00696B5D">
      <w:pPr>
        <w:pStyle w:val="ListParagraph"/>
        <w:numPr>
          <w:ilvl w:val="2"/>
          <w:numId w:val="3"/>
        </w:numPr>
        <w:spacing w:line="276" w:lineRule="auto"/>
        <w:ind w:left="0" w:firstLine="0"/>
        <w:jc w:val="both"/>
        <w:rPr>
          <w:rFonts w:asciiTheme="minorHAnsi" w:hAnsiTheme="minorHAnsi" w:cstheme="minorHAnsi"/>
          <w:sz w:val="22"/>
          <w:szCs w:val="22"/>
        </w:rPr>
      </w:pPr>
      <w:r w:rsidRPr="00C22E38">
        <w:rPr>
          <w:rFonts w:asciiTheme="minorHAnsi" w:hAnsiTheme="minorHAnsi" w:cstheme="minorHAnsi"/>
          <w:sz w:val="22"/>
          <w:szCs w:val="22"/>
        </w:rPr>
        <w:t>TTG’nin hiçbir suretle, Yüklenici’yi işbu Sözleşme ve bu Sözleşme kapsamında imzalanacak olan Satınalma Siparişi konusuna ilişkin olarak münhasır yetkili kılmadığını ve TTG’nin işbu Sözleşme konusu Hizmetler ile ilgili olarak üçüncü şahıslarla benzer sözleşmeler yapma hakkını haiz olduğunu bil</w:t>
      </w:r>
      <w:r w:rsidR="005170BE" w:rsidRPr="00C22E38">
        <w:rPr>
          <w:rFonts w:asciiTheme="minorHAnsi" w:hAnsiTheme="minorHAnsi" w:cstheme="minorHAnsi"/>
          <w:sz w:val="22"/>
          <w:szCs w:val="22"/>
        </w:rPr>
        <w:t>diğini</w:t>
      </w:r>
      <w:r w:rsidRPr="00C22E38">
        <w:rPr>
          <w:rFonts w:asciiTheme="minorHAnsi" w:hAnsiTheme="minorHAnsi" w:cstheme="minorHAnsi"/>
          <w:sz w:val="22"/>
          <w:szCs w:val="22"/>
        </w:rPr>
        <w:t>,</w:t>
      </w:r>
    </w:p>
    <w:p w14:paraId="75FF6E4C" w14:textId="62569C62" w:rsidR="009C544D" w:rsidRPr="00C22E38" w:rsidRDefault="00C34AED" w:rsidP="00696B5D">
      <w:pPr>
        <w:pStyle w:val="ListParagraph"/>
        <w:numPr>
          <w:ilvl w:val="2"/>
          <w:numId w:val="3"/>
        </w:numPr>
        <w:spacing w:line="276" w:lineRule="auto"/>
        <w:ind w:left="0" w:firstLine="0"/>
        <w:contextualSpacing/>
        <w:jc w:val="both"/>
        <w:rPr>
          <w:rFonts w:asciiTheme="minorHAnsi" w:hAnsiTheme="minorHAnsi" w:cstheme="minorHAnsi"/>
          <w:sz w:val="22"/>
          <w:szCs w:val="22"/>
        </w:rPr>
      </w:pPr>
      <w:r w:rsidRPr="00C22E38">
        <w:rPr>
          <w:rFonts w:asciiTheme="minorHAnsi" w:hAnsiTheme="minorHAnsi" w:cstheme="minorHAnsi"/>
          <w:sz w:val="22"/>
          <w:szCs w:val="22"/>
        </w:rPr>
        <w:t xml:space="preserve">Beklenmeyen </w:t>
      </w:r>
      <w:r w:rsidR="009C544D" w:rsidRPr="00C22E38">
        <w:rPr>
          <w:rFonts w:asciiTheme="minorHAnsi" w:hAnsiTheme="minorHAnsi" w:cstheme="minorHAnsi"/>
          <w:sz w:val="22"/>
          <w:szCs w:val="22"/>
        </w:rPr>
        <w:t>hal/kanundan kaynaklanan mücbir sebep hallerinden herhangi birisinin vuku bulması durumunda, içinde bulunduğu halde verebilecek olduğu asgari Hizmetleri sağlamaya/İş’leri yapmaya devam etme</w:t>
      </w:r>
      <w:r w:rsidR="005170BE" w:rsidRPr="00C22E38">
        <w:rPr>
          <w:rFonts w:asciiTheme="minorHAnsi" w:hAnsiTheme="minorHAnsi" w:cstheme="minorHAnsi"/>
          <w:sz w:val="22"/>
          <w:szCs w:val="22"/>
        </w:rPr>
        <w:t>yi</w:t>
      </w:r>
      <w:r w:rsidR="009C544D" w:rsidRPr="00C22E38">
        <w:rPr>
          <w:rFonts w:asciiTheme="minorHAnsi" w:hAnsiTheme="minorHAnsi" w:cstheme="minorHAnsi"/>
          <w:sz w:val="22"/>
          <w:szCs w:val="22"/>
        </w:rPr>
        <w:t>,</w:t>
      </w:r>
    </w:p>
    <w:p w14:paraId="633754DD" w14:textId="64880BEA" w:rsidR="009C544D" w:rsidRPr="00C22E38" w:rsidRDefault="00C34AED"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C22E38">
        <w:rPr>
          <w:rFonts w:asciiTheme="minorHAnsi" w:hAnsiTheme="minorHAnsi" w:cstheme="minorHAnsi"/>
          <w:sz w:val="22"/>
          <w:szCs w:val="22"/>
        </w:rPr>
        <w:t>İşbu Sözleşme</w:t>
      </w:r>
      <w:r w:rsidR="00325470" w:rsidRPr="00C22E38" w:rsidDel="00325470">
        <w:rPr>
          <w:rFonts w:asciiTheme="minorHAnsi" w:hAnsiTheme="minorHAnsi" w:cstheme="minorHAnsi"/>
          <w:sz w:val="22"/>
          <w:szCs w:val="22"/>
        </w:rPr>
        <w:t xml:space="preserve"> </w:t>
      </w:r>
      <w:r w:rsidRPr="00C22E38">
        <w:rPr>
          <w:rFonts w:asciiTheme="minorHAnsi" w:hAnsiTheme="minorHAnsi" w:cstheme="minorHAnsi"/>
          <w:sz w:val="22"/>
          <w:szCs w:val="22"/>
        </w:rPr>
        <w:t xml:space="preserve">Satınalma </w:t>
      </w:r>
      <w:r w:rsidR="009C544D" w:rsidRPr="00C22E38">
        <w:rPr>
          <w:rFonts w:asciiTheme="minorHAnsi" w:hAnsiTheme="minorHAnsi" w:cstheme="minorHAnsi"/>
          <w:sz w:val="22"/>
          <w:szCs w:val="22"/>
        </w:rPr>
        <w:t>Siparişi’nden kaynaklanan yükümlülüklerini tam ve gereği gibi yerine g</w:t>
      </w:r>
      <w:r w:rsidRPr="00C22E38">
        <w:rPr>
          <w:rFonts w:asciiTheme="minorHAnsi" w:hAnsiTheme="minorHAnsi" w:cstheme="minorHAnsi"/>
          <w:sz w:val="22"/>
          <w:szCs w:val="22"/>
        </w:rPr>
        <w:t xml:space="preserve">etirip getirmediği hususlarının </w:t>
      </w:r>
      <w:r w:rsidR="009C544D" w:rsidRPr="00C22E38">
        <w:rPr>
          <w:rFonts w:asciiTheme="minorHAnsi" w:hAnsiTheme="minorHAnsi" w:cstheme="minorHAnsi"/>
          <w:sz w:val="22"/>
          <w:szCs w:val="22"/>
        </w:rPr>
        <w:t>TTG tarafından ve/veya düzenleyici kurumlar tarafından denetlenmesine muvafakat e</w:t>
      </w:r>
      <w:r w:rsidR="005170BE" w:rsidRPr="00C22E38">
        <w:rPr>
          <w:rFonts w:asciiTheme="minorHAnsi" w:hAnsiTheme="minorHAnsi" w:cstheme="minorHAnsi"/>
          <w:sz w:val="22"/>
          <w:szCs w:val="22"/>
        </w:rPr>
        <w:t>tmeyi</w:t>
      </w:r>
      <w:r w:rsidR="009C544D" w:rsidRPr="00C22E38">
        <w:rPr>
          <w:rFonts w:asciiTheme="minorHAnsi" w:hAnsiTheme="minorHAnsi" w:cstheme="minorHAnsi"/>
          <w:sz w:val="22"/>
          <w:szCs w:val="22"/>
        </w:rPr>
        <w:t xml:space="preserve"> ve dolayısıyla bunun için gerekli her türlü kolaylığı gösterme</w:t>
      </w:r>
      <w:r w:rsidR="005170BE" w:rsidRPr="00C22E38">
        <w:rPr>
          <w:rFonts w:asciiTheme="minorHAnsi" w:hAnsiTheme="minorHAnsi" w:cstheme="minorHAnsi"/>
          <w:sz w:val="22"/>
          <w:szCs w:val="22"/>
        </w:rPr>
        <w:t>yi</w:t>
      </w:r>
      <w:r w:rsidR="009C544D" w:rsidRPr="00C22E38">
        <w:rPr>
          <w:rFonts w:asciiTheme="minorHAnsi" w:hAnsiTheme="minorHAnsi" w:cstheme="minorHAnsi"/>
          <w:sz w:val="22"/>
          <w:szCs w:val="22"/>
        </w:rPr>
        <w:t>, bilgi ve/veya belgeyi sağlama</w:t>
      </w:r>
      <w:r w:rsidR="005170BE" w:rsidRPr="00C22E38">
        <w:rPr>
          <w:rFonts w:asciiTheme="minorHAnsi" w:hAnsiTheme="minorHAnsi" w:cstheme="minorHAnsi"/>
          <w:sz w:val="22"/>
          <w:szCs w:val="22"/>
        </w:rPr>
        <w:t>yı</w:t>
      </w:r>
      <w:r w:rsidR="009C544D" w:rsidRPr="00C22E38">
        <w:rPr>
          <w:rFonts w:asciiTheme="minorHAnsi" w:hAnsiTheme="minorHAnsi" w:cstheme="minorHAnsi"/>
          <w:sz w:val="22"/>
          <w:szCs w:val="22"/>
        </w:rPr>
        <w:t>,</w:t>
      </w:r>
    </w:p>
    <w:p w14:paraId="29BBB715" w14:textId="540DEAAF" w:rsidR="008774D5" w:rsidRPr="00C22E38" w:rsidRDefault="008774D5"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C22E38">
        <w:rPr>
          <w:rFonts w:asciiTheme="minorHAnsi" w:hAnsiTheme="minorHAnsi" w:cstheme="minorHAnsi"/>
          <w:bCs/>
          <w:sz w:val="22"/>
          <w:szCs w:val="22"/>
        </w:rPr>
        <w:t>Yüklenici yükümlülükleri bunlarla sınırlı olmayıp her bir işe yönelik olan yükümlülükler İş Emrinde belirtilecek olup, Yüklenici, bu yükümlülüklere de uyacak ve işin yapılması için gerekli olan Hizmetler’i eksiksiz olarak ifa etmeyi,</w:t>
      </w:r>
    </w:p>
    <w:p w14:paraId="400ABEA8" w14:textId="749BFD5D" w:rsidR="008774D5" w:rsidRPr="00C22E38" w:rsidRDefault="005170BE" w:rsidP="00696B5D">
      <w:pPr>
        <w:spacing w:before="240" w:after="240" w:line="276" w:lineRule="auto"/>
        <w:jc w:val="both"/>
        <w:rPr>
          <w:rFonts w:eastAsia="Times New Roman" w:cstheme="minorHAnsi"/>
          <w:bCs/>
          <w:lang w:val="en-US"/>
        </w:rPr>
      </w:pPr>
      <w:r w:rsidRPr="00C22E38">
        <w:rPr>
          <w:rFonts w:cstheme="minorHAnsi"/>
        </w:rPr>
        <w:t>kabul ve taahhüt etmekte</w:t>
      </w:r>
      <w:r w:rsidR="009C544D" w:rsidRPr="00C22E38">
        <w:rPr>
          <w:rFonts w:eastAsia="Times New Roman" w:cstheme="minorHAnsi"/>
          <w:bCs/>
          <w:lang w:val="en-US"/>
        </w:rPr>
        <w:t xml:space="preserve"> olup bunların yapılmaması durumunda doğabilecek tüm sonuçlardan tek başına sorumludur.</w:t>
      </w:r>
    </w:p>
    <w:p w14:paraId="473D8650" w14:textId="77777777" w:rsidR="00E15493" w:rsidRPr="00C22E38" w:rsidRDefault="00E15493" w:rsidP="00696B5D">
      <w:pPr>
        <w:pStyle w:val="ListParagraph"/>
        <w:numPr>
          <w:ilvl w:val="1"/>
          <w:numId w:val="3"/>
        </w:numPr>
        <w:spacing w:before="240" w:after="240" w:line="276" w:lineRule="auto"/>
        <w:contextualSpacing/>
        <w:jc w:val="both"/>
        <w:rPr>
          <w:rFonts w:asciiTheme="minorHAnsi" w:hAnsiTheme="minorHAnsi" w:cstheme="minorHAnsi"/>
          <w:bCs/>
          <w:sz w:val="22"/>
          <w:szCs w:val="22"/>
        </w:rPr>
      </w:pPr>
      <w:r w:rsidRPr="00C22E38">
        <w:rPr>
          <w:rFonts w:asciiTheme="minorHAnsi" w:hAnsiTheme="minorHAnsi" w:cstheme="minorHAnsi"/>
          <w:b/>
          <w:bCs/>
          <w:sz w:val="22"/>
          <w:szCs w:val="22"/>
        </w:rPr>
        <w:t>TTG’nin Yükümlülükleri</w:t>
      </w:r>
    </w:p>
    <w:p w14:paraId="4DF17298" w14:textId="77777777" w:rsidR="009C544D" w:rsidRPr="00C22E38" w:rsidRDefault="009C544D" w:rsidP="00696B5D">
      <w:pPr>
        <w:pStyle w:val="ListParagraph"/>
        <w:spacing w:before="240" w:after="240" w:line="276" w:lineRule="auto"/>
        <w:ind w:left="0"/>
        <w:jc w:val="both"/>
        <w:rPr>
          <w:rFonts w:asciiTheme="minorHAnsi" w:hAnsiTheme="minorHAnsi" w:cstheme="minorHAnsi"/>
          <w:bCs/>
          <w:sz w:val="22"/>
          <w:szCs w:val="22"/>
        </w:rPr>
      </w:pPr>
    </w:p>
    <w:p w14:paraId="7655592F" w14:textId="7BF1DB99" w:rsidR="00E15493" w:rsidRPr="00C22E38" w:rsidRDefault="005170BE" w:rsidP="00696B5D">
      <w:pPr>
        <w:pStyle w:val="ListParagraph"/>
        <w:spacing w:before="240" w:after="240" w:line="276" w:lineRule="auto"/>
        <w:ind w:left="0"/>
        <w:jc w:val="both"/>
        <w:rPr>
          <w:rFonts w:asciiTheme="minorHAnsi" w:hAnsiTheme="minorHAnsi" w:cstheme="minorHAnsi"/>
          <w:bCs/>
          <w:sz w:val="22"/>
          <w:szCs w:val="22"/>
        </w:rPr>
      </w:pPr>
      <w:r w:rsidRPr="00C22E38">
        <w:rPr>
          <w:rFonts w:asciiTheme="minorHAnsi" w:hAnsiTheme="minorHAnsi" w:cstheme="minorHAnsi"/>
          <w:bCs/>
          <w:sz w:val="22"/>
          <w:szCs w:val="22"/>
        </w:rPr>
        <w:t xml:space="preserve">İşbu Sözleşme ile </w:t>
      </w:r>
      <w:r w:rsidR="00E15493" w:rsidRPr="00C22E38">
        <w:rPr>
          <w:rFonts w:asciiTheme="minorHAnsi" w:hAnsiTheme="minorHAnsi" w:cstheme="minorHAnsi"/>
          <w:bCs/>
          <w:sz w:val="22"/>
          <w:szCs w:val="22"/>
        </w:rPr>
        <w:t>TTG;</w:t>
      </w:r>
    </w:p>
    <w:p w14:paraId="434B5D81" w14:textId="29BFD959" w:rsidR="00E15493" w:rsidRPr="00C22E38" w:rsidRDefault="00E15493" w:rsidP="00696B5D">
      <w:pPr>
        <w:pStyle w:val="ListParagraph"/>
        <w:numPr>
          <w:ilvl w:val="2"/>
          <w:numId w:val="3"/>
        </w:numPr>
        <w:tabs>
          <w:tab w:val="left" w:pos="0"/>
        </w:tabs>
        <w:spacing w:before="240" w:after="240" w:line="276" w:lineRule="auto"/>
        <w:ind w:left="0" w:firstLine="0"/>
        <w:contextualSpacing/>
        <w:jc w:val="both"/>
        <w:rPr>
          <w:rFonts w:asciiTheme="minorHAnsi" w:hAnsiTheme="minorHAnsi" w:cstheme="minorHAnsi"/>
          <w:bCs/>
          <w:sz w:val="22"/>
          <w:szCs w:val="22"/>
        </w:rPr>
      </w:pPr>
      <w:r w:rsidRPr="00C22E38">
        <w:rPr>
          <w:rFonts w:asciiTheme="minorHAnsi" w:hAnsiTheme="minorHAnsi" w:cstheme="minorHAnsi"/>
          <w:sz w:val="22"/>
          <w:szCs w:val="22"/>
        </w:rPr>
        <w:t>Yüklenici’nin Hizmetler ve Sözleşme kapsamındaki yüküml</w:t>
      </w:r>
      <w:r w:rsidR="008774D5" w:rsidRPr="00C22E38">
        <w:rPr>
          <w:rFonts w:asciiTheme="minorHAnsi" w:hAnsiTheme="minorHAnsi" w:cstheme="minorHAnsi"/>
          <w:sz w:val="22"/>
          <w:szCs w:val="22"/>
        </w:rPr>
        <w:t xml:space="preserve">ülüklerini ifa edebilmesi için </w:t>
      </w:r>
      <w:r w:rsidRPr="00C22E38">
        <w:rPr>
          <w:rFonts w:asciiTheme="minorHAnsi" w:hAnsiTheme="minorHAnsi" w:cstheme="minorHAnsi"/>
          <w:sz w:val="22"/>
          <w:szCs w:val="22"/>
        </w:rPr>
        <w:t>Yüklenici’nin makul surette ihtiyaç duyacağı bilgi, belge ve dokümanları temin etme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 xml:space="preserve"> ve </w:t>
      </w:r>
      <w:r w:rsidRPr="00C22E38">
        <w:rPr>
          <w:rFonts w:asciiTheme="minorHAnsi" w:hAnsiTheme="minorHAnsi" w:cstheme="minorHAnsi"/>
          <w:sz w:val="22"/>
          <w:szCs w:val="22"/>
        </w:rPr>
        <w:tab/>
      </w:r>
      <w:r w:rsidR="008774D5" w:rsidRPr="00C22E38">
        <w:rPr>
          <w:rFonts w:asciiTheme="minorHAnsi" w:hAnsiTheme="minorHAnsi" w:cstheme="minorHAnsi"/>
          <w:sz w:val="22"/>
          <w:szCs w:val="22"/>
          <w:lang w:val="en-US"/>
        </w:rPr>
        <w:t xml:space="preserve">Sözleşme </w:t>
      </w:r>
      <w:r w:rsidRPr="00C22E38">
        <w:rPr>
          <w:rFonts w:asciiTheme="minorHAnsi" w:hAnsiTheme="minorHAnsi" w:cstheme="minorHAnsi"/>
          <w:sz w:val="22"/>
          <w:szCs w:val="22"/>
          <w:lang w:val="en-US"/>
        </w:rPr>
        <w:t xml:space="preserve">kapsamındaki işin kendi lokasyon/larında verilmesi halinde fiziki alanlarının </w:t>
      </w:r>
      <w:r w:rsidRPr="00C22E38">
        <w:rPr>
          <w:rFonts w:asciiTheme="minorHAnsi" w:hAnsiTheme="minorHAnsi" w:cstheme="minorHAnsi"/>
          <w:sz w:val="22"/>
          <w:szCs w:val="22"/>
        </w:rPr>
        <w:t>kullanılmasına izin verme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w:t>
      </w:r>
    </w:p>
    <w:p w14:paraId="3D4EFA66" w14:textId="5007DBAB" w:rsidR="00E15493" w:rsidRPr="00C22E38" w:rsidRDefault="00E15493" w:rsidP="00696B5D">
      <w:pPr>
        <w:pStyle w:val="ListParagraph"/>
        <w:numPr>
          <w:ilvl w:val="2"/>
          <w:numId w:val="3"/>
        </w:numPr>
        <w:tabs>
          <w:tab w:val="left" w:pos="0"/>
        </w:tabs>
        <w:spacing w:before="240" w:after="240" w:line="276" w:lineRule="auto"/>
        <w:ind w:left="0" w:firstLine="0"/>
        <w:contextualSpacing/>
        <w:jc w:val="both"/>
        <w:rPr>
          <w:rFonts w:asciiTheme="minorHAnsi" w:hAnsiTheme="minorHAnsi" w:cstheme="minorHAnsi"/>
          <w:bCs/>
          <w:sz w:val="22"/>
          <w:szCs w:val="22"/>
        </w:rPr>
      </w:pPr>
      <w:r w:rsidRPr="00C22E38">
        <w:rPr>
          <w:rFonts w:asciiTheme="minorHAnsi" w:hAnsiTheme="minorHAnsi" w:cstheme="minorHAnsi"/>
          <w:sz w:val="22"/>
          <w:szCs w:val="22"/>
        </w:rPr>
        <w:t>İşbu Sözleşme kapsamındaki Sözleşme’nin “Ücret, Faturalama ve Ödeme” başlıklı maddesin</w:t>
      </w:r>
      <w:r w:rsidR="005170BE" w:rsidRPr="00C22E38">
        <w:rPr>
          <w:rFonts w:asciiTheme="minorHAnsi" w:hAnsiTheme="minorHAnsi" w:cstheme="minorHAnsi"/>
          <w:sz w:val="22"/>
          <w:szCs w:val="22"/>
        </w:rPr>
        <w:t>d</w:t>
      </w:r>
      <w:r w:rsidRPr="00C22E38">
        <w:rPr>
          <w:rFonts w:asciiTheme="minorHAnsi" w:hAnsiTheme="minorHAnsi" w:cstheme="minorHAnsi"/>
          <w:sz w:val="22"/>
          <w:szCs w:val="22"/>
        </w:rPr>
        <w:t xml:space="preserve">e </w:t>
      </w:r>
      <w:r w:rsidR="005170BE" w:rsidRPr="00C22E38">
        <w:rPr>
          <w:rFonts w:asciiTheme="minorHAnsi" w:hAnsiTheme="minorHAnsi" w:cstheme="minorHAnsi"/>
          <w:sz w:val="22"/>
          <w:szCs w:val="22"/>
        </w:rPr>
        <w:t xml:space="preserve">yer alan ödeme yükümlülüğünü </w:t>
      </w:r>
      <w:r w:rsidRPr="00C22E38">
        <w:rPr>
          <w:rFonts w:asciiTheme="minorHAnsi" w:hAnsiTheme="minorHAnsi" w:cstheme="minorHAnsi"/>
          <w:sz w:val="22"/>
          <w:szCs w:val="22"/>
        </w:rPr>
        <w:t>yerine getirme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w:t>
      </w:r>
    </w:p>
    <w:p w14:paraId="1AE7D145" w14:textId="34C65B8F" w:rsidR="00E15493" w:rsidRPr="00C22E38"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bCs/>
          <w:sz w:val="22"/>
          <w:szCs w:val="22"/>
        </w:rPr>
      </w:pPr>
      <w:r w:rsidRPr="00C22E38">
        <w:rPr>
          <w:rFonts w:asciiTheme="minorHAnsi" w:hAnsiTheme="minorHAnsi" w:cstheme="minorHAnsi"/>
          <w:sz w:val="22"/>
          <w:szCs w:val="22"/>
        </w:rPr>
        <w:t>Çalışmalara konu olacak Hizmetler’in ve satış noktalarının listelerini Yüklenici’ye verme</w:t>
      </w:r>
      <w:r w:rsidR="005170BE" w:rsidRPr="00C22E38">
        <w:rPr>
          <w:rFonts w:asciiTheme="minorHAnsi" w:hAnsiTheme="minorHAnsi" w:cstheme="minorHAnsi"/>
          <w:sz w:val="22"/>
          <w:szCs w:val="22"/>
        </w:rPr>
        <w:t>yi</w:t>
      </w:r>
      <w:r w:rsidR="008774D5" w:rsidRPr="00C22E38">
        <w:rPr>
          <w:rFonts w:asciiTheme="minorHAnsi" w:hAnsiTheme="minorHAnsi" w:cstheme="minorHAnsi"/>
          <w:sz w:val="22"/>
          <w:szCs w:val="22"/>
        </w:rPr>
        <w:t xml:space="preserve">, </w:t>
      </w:r>
      <w:r w:rsidRPr="00C22E38">
        <w:rPr>
          <w:rFonts w:asciiTheme="minorHAnsi" w:hAnsiTheme="minorHAnsi" w:cstheme="minorHAnsi"/>
          <w:sz w:val="22"/>
          <w:szCs w:val="22"/>
        </w:rPr>
        <w:t>yapılacak değişikliklerden Yüklenici’yi yazılı olarak haberdar etme</w:t>
      </w:r>
      <w:r w:rsidR="005170BE" w:rsidRPr="00C22E38">
        <w:rPr>
          <w:rFonts w:asciiTheme="minorHAnsi" w:hAnsiTheme="minorHAnsi" w:cstheme="minorHAnsi"/>
          <w:sz w:val="22"/>
          <w:szCs w:val="22"/>
        </w:rPr>
        <w:t>yi</w:t>
      </w:r>
      <w:r w:rsidRPr="00C22E38">
        <w:rPr>
          <w:rFonts w:asciiTheme="minorHAnsi" w:hAnsiTheme="minorHAnsi" w:cstheme="minorHAnsi"/>
          <w:sz w:val="22"/>
          <w:szCs w:val="22"/>
        </w:rPr>
        <w:t>,</w:t>
      </w:r>
    </w:p>
    <w:p w14:paraId="23F844DA" w14:textId="77777777" w:rsidR="005170BE" w:rsidRPr="00C22E38" w:rsidRDefault="005170BE" w:rsidP="00696B5D">
      <w:pPr>
        <w:pStyle w:val="ListParagraph"/>
        <w:spacing w:before="240" w:after="240" w:line="276" w:lineRule="auto"/>
        <w:ind w:left="0"/>
        <w:contextualSpacing/>
        <w:jc w:val="both"/>
        <w:rPr>
          <w:rFonts w:asciiTheme="minorHAnsi" w:hAnsiTheme="minorHAnsi" w:cstheme="minorHAnsi"/>
          <w:bCs/>
          <w:sz w:val="22"/>
          <w:szCs w:val="22"/>
        </w:rPr>
      </w:pPr>
    </w:p>
    <w:p w14:paraId="12943DF0" w14:textId="532C3880" w:rsidR="00E15493" w:rsidRPr="00696B5D" w:rsidRDefault="005170BE" w:rsidP="00696B5D">
      <w:pPr>
        <w:pStyle w:val="ListParagraph"/>
        <w:spacing w:before="240" w:after="240" w:line="276" w:lineRule="auto"/>
        <w:ind w:left="0"/>
        <w:jc w:val="both"/>
        <w:rPr>
          <w:rFonts w:asciiTheme="minorHAnsi" w:hAnsiTheme="minorHAnsi" w:cstheme="minorHAnsi"/>
          <w:bCs/>
          <w:sz w:val="22"/>
          <w:szCs w:val="22"/>
        </w:rPr>
      </w:pPr>
      <w:r w:rsidRPr="00696B5D">
        <w:rPr>
          <w:rFonts w:asciiTheme="minorHAnsi" w:hAnsiTheme="minorHAnsi" w:cstheme="minorHAnsi"/>
          <w:sz w:val="22"/>
          <w:szCs w:val="22"/>
        </w:rPr>
        <w:t>kabul ve taahhüt eder</w:t>
      </w:r>
      <w:r w:rsidR="00E15493" w:rsidRPr="00696B5D">
        <w:rPr>
          <w:rFonts w:asciiTheme="minorHAnsi" w:hAnsiTheme="minorHAnsi" w:cstheme="minorHAnsi"/>
          <w:sz w:val="22"/>
          <w:szCs w:val="22"/>
        </w:rPr>
        <w:t>.</w:t>
      </w:r>
    </w:p>
    <w:p w14:paraId="413A7E62" w14:textId="3B59CAEF" w:rsidR="00E15493" w:rsidRPr="008A1B94" w:rsidRDefault="00E15493" w:rsidP="008A1B94">
      <w:pPr>
        <w:pStyle w:val="ListParagraph"/>
        <w:numPr>
          <w:ilvl w:val="0"/>
          <w:numId w:val="3"/>
        </w:numPr>
        <w:spacing w:before="240" w:after="240" w:line="276" w:lineRule="auto"/>
        <w:contextualSpacing/>
        <w:jc w:val="both"/>
        <w:rPr>
          <w:rFonts w:asciiTheme="minorHAnsi" w:hAnsiTheme="minorHAnsi" w:cstheme="minorHAnsi"/>
          <w:bCs/>
          <w:sz w:val="22"/>
          <w:szCs w:val="22"/>
        </w:rPr>
      </w:pPr>
      <w:r w:rsidRPr="00696B5D">
        <w:rPr>
          <w:rFonts w:asciiTheme="minorHAnsi" w:eastAsia="Calibri" w:hAnsiTheme="minorHAnsi" w:cstheme="minorHAnsi"/>
          <w:b/>
          <w:sz w:val="22"/>
          <w:szCs w:val="22"/>
          <w:lang w:val="en-US"/>
        </w:rPr>
        <w:t>KABUL</w:t>
      </w:r>
    </w:p>
    <w:p w14:paraId="7C0F5C66" w14:textId="4F0AE5BD" w:rsidR="00E15493" w:rsidRPr="00696B5D" w:rsidRDefault="00E15493" w:rsidP="00696B5D">
      <w:pPr>
        <w:pStyle w:val="ListParagraph"/>
        <w:numPr>
          <w:ilvl w:val="1"/>
          <w:numId w:val="3"/>
        </w:numPr>
        <w:tabs>
          <w:tab w:val="left" w:pos="567"/>
        </w:tabs>
        <w:spacing w:before="240" w:after="240" w:line="276" w:lineRule="auto"/>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rPr>
        <w:t>Hizmetler ve Proje Dokümantasyonu, TTG'nin Kabul'üne tabi olacak olup, Hizmetler'in ve Proje Dokümantasyonu'nun Sözleşme ve ilgili eklerine uygun, tam ve gereği gibi olduğunun TTG tarafından sabit bulunması üzerine TTG tarafından düzenlenecek Kabul Belgesi ile ilgili Hizmetler ve Proje Dokümantasyonu Kabul edilmiş olacaktır.</w:t>
      </w:r>
    </w:p>
    <w:p w14:paraId="239A7E78" w14:textId="2C6F5A28" w:rsidR="009C544D" w:rsidRPr="00696B5D" w:rsidRDefault="00E15493" w:rsidP="00696B5D">
      <w:pPr>
        <w:pStyle w:val="ListParagraph"/>
        <w:numPr>
          <w:ilvl w:val="1"/>
          <w:numId w:val="3"/>
        </w:numPr>
        <w:tabs>
          <w:tab w:val="left" w:pos="567"/>
        </w:tabs>
        <w:spacing w:before="240" w:after="240" w:line="276" w:lineRule="auto"/>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rPr>
        <w:t xml:space="preserve"> Hizmetler'in ve/veya Proje Dokümantasyonu'nun Kabul edilmemesi durumunda, TTG Sözleşme'den ve </w:t>
      </w:r>
      <w:r w:rsidRPr="00696B5D">
        <w:rPr>
          <w:rFonts w:asciiTheme="minorHAnsi" w:hAnsiTheme="minorHAnsi" w:cstheme="minorHAnsi"/>
          <w:sz w:val="22"/>
          <w:szCs w:val="22"/>
        </w:rPr>
        <w:t>Uygulanacak Yasalar’dan</w:t>
      </w:r>
      <w:r w:rsidRPr="00696B5D">
        <w:rPr>
          <w:rFonts w:asciiTheme="minorHAnsi" w:eastAsia="Calibri" w:hAnsiTheme="minorHAnsi" w:cstheme="minorHAnsi"/>
          <w:sz w:val="22"/>
          <w:szCs w:val="22"/>
        </w:rPr>
        <w:t xml:space="preserve"> kaynaklanan diğer hakları saklı kalmak kaydıyla, aşağıda yer alan seçimlik haklardan birini kullanabilecektir:</w:t>
      </w:r>
    </w:p>
    <w:p w14:paraId="46E2764A" w14:textId="77777777" w:rsidR="009C544D" w:rsidRPr="00696B5D" w:rsidRDefault="009C544D" w:rsidP="00696B5D">
      <w:pPr>
        <w:pStyle w:val="ListParagraph"/>
        <w:tabs>
          <w:tab w:val="left" w:pos="567"/>
        </w:tabs>
        <w:spacing w:before="240" w:after="240" w:line="276" w:lineRule="auto"/>
        <w:ind w:left="716"/>
        <w:contextualSpacing/>
        <w:jc w:val="both"/>
        <w:rPr>
          <w:rFonts w:asciiTheme="minorHAnsi" w:hAnsiTheme="minorHAnsi" w:cstheme="minorHAnsi"/>
          <w:bCs/>
          <w:sz w:val="22"/>
          <w:szCs w:val="22"/>
        </w:rPr>
      </w:pPr>
    </w:p>
    <w:p w14:paraId="0326C4C2" w14:textId="77777777" w:rsidR="009C544D" w:rsidRPr="00696B5D" w:rsidRDefault="009C544D" w:rsidP="00696B5D">
      <w:pPr>
        <w:pStyle w:val="ListParagraph"/>
        <w:numPr>
          <w:ilvl w:val="2"/>
          <w:numId w:val="3"/>
        </w:numPr>
        <w:spacing w:before="240" w:after="240" w:line="276" w:lineRule="auto"/>
        <w:ind w:left="851" w:firstLine="0"/>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rPr>
        <w:lastRenderedPageBreak/>
        <w:t>TTG, Hizmetler'in ve/veya Proje Dokümantasyonu'nun yeniden verilmesini talep edebilir. Bu durumda, Hizmetler'in ve/veya Proje Dokümantasyonu'nun yeniden verilmesine ve Kabul edilmesine kadar geçen süre içerisinde Sözleşme’nin Cezai Hükümler maddesini uygulayacaktır.</w:t>
      </w:r>
    </w:p>
    <w:p w14:paraId="015708B8" w14:textId="2C58386D" w:rsidR="009C544D" w:rsidRPr="00696B5D" w:rsidRDefault="009C544D" w:rsidP="00696B5D">
      <w:pPr>
        <w:pStyle w:val="ListParagraph"/>
        <w:numPr>
          <w:ilvl w:val="2"/>
          <w:numId w:val="3"/>
        </w:numPr>
        <w:spacing w:before="240" w:after="240" w:line="276" w:lineRule="auto"/>
        <w:ind w:left="851" w:firstLine="0"/>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rPr>
        <w:t>TTG, Sözleşme'nin veya ilgili /Satınalma Siparişi'nin tamamını veya bir kısmını ve/veya Hizmetler’in Fazlar halinde olması durumunda Fazlar'dan birini ve/veya bir kaçını derhal ve tazminatsız feshedebilir ve varsa ödediği bedellerin iadesini talep edebilir.</w:t>
      </w:r>
    </w:p>
    <w:p w14:paraId="2BCB24F1" w14:textId="7AFB41C2" w:rsidR="009C544D" w:rsidRPr="008A1B94" w:rsidRDefault="009C544D" w:rsidP="008A1B94">
      <w:pPr>
        <w:pStyle w:val="ListParagraph"/>
        <w:numPr>
          <w:ilvl w:val="2"/>
          <w:numId w:val="3"/>
        </w:numPr>
        <w:spacing w:before="240" w:after="240" w:line="276" w:lineRule="auto"/>
        <w:ind w:left="851" w:firstLine="0"/>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rPr>
        <w:t>TTG, Kabul edilmemiş olan Hizmetler/Proje Dokümantasyonu bedelinden indirim talep edebilir ve Hizmetler/Proje Dokümantasyonu'nun yeniden verilmesi ve Kabul'ü için Yüklenici’ye belirli bir süre tayin edebilir.</w:t>
      </w:r>
    </w:p>
    <w:p w14:paraId="42859C93" w14:textId="5D5AE9E4" w:rsidR="00E15493" w:rsidRPr="00696B5D" w:rsidRDefault="00E15493" w:rsidP="00696B5D">
      <w:pPr>
        <w:pStyle w:val="CommentText"/>
        <w:numPr>
          <w:ilvl w:val="1"/>
          <w:numId w:val="3"/>
        </w:numPr>
        <w:tabs>
          <w:tab w:val="left" w:pos="567"/>
        </w:tabs>
        <w:spacing w:before="240" w:after="240" w:line="276" w:lineRule="auto"/>
        <w:contextualSpacing/>
        <w:rPr>
          <w:rFonts w:asciiTheme="minorHAnsi" w:hAnsiTheme="minorHAnsi" w:cstheme="minorHAnsi"/>
          <w:sz w:val="22"/>
          <w:szCs w:val="22"/>
        </w:rPr>
      </w:pPr>
      <w:r w:rsidRPr="00696B5D">
        <w:rPr>
          <w:rFonts w:asciiTheme="minorHAnsi" w:hAnsiTheme="minorHAnsi" w:cstheme="minorHAnsi"/>
          <w:sz w:val="22"/>
          <w:szCs w:val="22"/>
        </w:rPr>
        <w:t xml:space="preserve">Şüpheye mahal vermemek adına, Kabul Belgesi almamış Hizmetler/Proje Dokümantasyonu için </w:t>
      </w:r>
      <w:r w:rsidRPr="00696B5D">
        <w:rPr>
          <w:rFonts w:asciiTheme="minorHAnsi" w:hAnsiTheme="minorHAnsi" w:cstheme="minorHAnsi"/>
          <w:sz w:val="22"/>
          <w:szCs w:val="22"/>
        </w:rPr>
        <w:tab/>
        <w:t xml:space="preserve">Yüklenici, TTG'den herhangi bir nam altında bir bedel talep etmeyecek ve TTG’nın Yüklenici’ye </w:t>
      </w:r>
      <w:r w:rsidRPr="00696B5D">
        <w:rPr>
          <w:rFonts w:asciiTheme="minorHAnsi" w:hAnsiTheme="minorHAnsi" w:cstheme="minorHAnsi"/>
          <w:sz w:val="22"/>
          <w:szCs w:val="22"/>
        </w:rPr>
        <w:tab/>
        <w:t xml:space="preserve">Kabul Belgesi düzenlenmeden ödemiş olduğu bir bedel var ise söz konusu bedel TTG’ye iade </w:t>
      </w:r>
      <w:r w:rsidRPr="00696B5D">
        <w:rPr>
          <w:rFonts w:asciiTheme="minorHAnsi" w:hAnsiTheme="minorHAnsi" w:cstheme="minorHAnsi"/>
          <w:sz w:val="22"/>
          <w:szCs w:val="22"/>
        </w:rPr>
        <w:tab/>
        <w:t>edilecektir.</w:t>
      </w:r>
    </w:p>
    <w:p w14:paraId="03CBBECD" w14:textId="77777777" w:rsidR="00DA38DE" w:rsidRPr="00A5362D" w:rsidRDefault="00DA38DE" w:rsidP="00696B5D">
      <w:pPr>
        <w:pStyle w:val="CommentText"/>
        <w:tabs>
          <w:tab w:val="left" w:pos="567"/>
        </w:tabs>
        <w:spacing w:before="240" w:after="240" w:line="276" w:lineRule="auto"/>
        <w:ind w:left="716"/>
        <w:contextualSpacing/>
        <w:rPr>
          <w:rFonts w:asciiTheme="minorHAnsi" w:hAnsiTheme="minorHAnsi" w:cstheme="minorHAnsi"/>
          <w:sz w:val="22"/>
          <w:szCs w:val="22"/>
        </w:rPr>
      </w:pPr>
    </w:p>
    <w:p w14:paraId="1AD486A6" w14:textId="77777777" w:rsidR="00E15493" w:rsidRPr="00A5362D" w:rsidRDefault="00E15493" w:rsidP="00696B5D">
      <w:pPr>
        <w:pStyle w:val="ListParagraph"/>
        <w:numPr>
          <w:ilvl w:val="0"/>
          <w:numId w:val="3"/>
        </w:numPr>
        <w:spacing w:before="240" w:after="240" w:line="276" w:lineRule="auto"/>
        <w:contextualSpacing/>
        <w:jc w:val="both"/>
        <w:rPr>
          <w:rFonts w:asciiTheme="minorHAnsi" w:hAnsiTheme="minorHAnsi" w:cstheme="minorHAnsi"/>
          <w:bCs/>
          <w:sz w:val="22"/>
          <w:szCs w:val="22"/>
        </w:rPr>
      </w:pPr>
      <w:r w:rsidRPr="00A5362D">
        <w:rPr>
          <w:rFonts w:asciiTheme="minorHAnsi" w:hAnsiTheme="minorHAnsi" w:cstheme="minorHAnsi"/>
          <w:b/>
          <w:sz w:val="22"/>
          <w:szCs w:val="22"/>
        </w:rPr>
        <w:t>ÜCRET, FATURALAMA VE ÖDEME</w:t>
      </w:r>
    </w:p>
    <w:p w14:paraId="020BD22E" w14:textId="77777777" w:rsidR="00E15493" w:rsidRPr="00A5362D" w:rsidRDefault="00E15493" w:rsidP="00696B5D">
      <w:pPr>
        <w:pStyle w:val="ListParagraph"/>
        <w:numPr>
          <w:ilvl w:val="1"/>
          <w:numId w:val="3"/>
        </w:numPr>
        <w:spacing w:before="240" w:after="240" w:line="276" w:lineRule="auto"/>
        <w:ind w:left="0" w:firstLine="0"/>
        <w:contextualSpacing/>
        <w:jc w:val="both"/>
        <w:rPr>
          <w:rFonts w:asciiTheme="minorHAnsi" w:hAnsiTheme="minorHAnsi" w:cstheme="minorHAnsi"/>
          <w:b/>
          <w:sz w:val="22"/>
          <w:szCs w:val="22"/>
        </w:rPr>
      </w:pPr>
      <w:r w:rsidRPr="00A5362D">
        <w:rPr>
          <w:rFonts w:asciiTheme="minorHAnsi" w:hAnsiTheme="minorHAnsi" w:cstheme="minorHAnsi"/>
          <w:b/>
          <w:sz w:val="22"/>
          <w:szCs w:val="22"/>
        </w:rPr>
        <w:t>Ücretler</w:t>
      </w:r>
    </w:p>
    <w:p w14:paraId="59B4C344" w14:textId="1DEE4D53" w:rsidR="0091752B" w:rsidRPr="00A5362D" w:rsidRDefault="00A5362D" w:rsidP="00A5362D">
      <w:pPr>
        <w:pStyle w:val="ListParagraph"/>
        <w:numPr>
          <w:ilvl w:val="2"/>
          <w:numId w:val="3"/>
        </w:numPr>
        <w:spacing w:before="240" w:after="240" w:line="276" w:lineRule="auto"/>
        <w:ind w:left="0" w:firstLine="0"/>
        <w:contextualSpacing/>
        <w:jc w:val="both"/>
        <w:rPr>
          <w:rFonts w:ascii="Calibri" w:hAnsi="Calibri"/>
          <w:color w:val="000000" w:themeColor="text1"/>
          <w:sz w:val="22"/>
          <w:szCs w:val="22"/>
        </w:rPr>
      </w:pPr>
      <w:r w:rsidRPr="00A5362D">
        <w:rPr>
          <w:rFonts w:ascii="Calibri" w:hAnsi="Calibri"/>
          <w:color w:val="000000" w:themeColor="text1"/>
          <w:sz w:val="22"/>
          <w:szCs w:val="22"/>
        </w:rPr>
        <w:t xml:space="preserve">İşbu Sözleşme kapsamında Yüklenici tarafından temin edilecek Hizmetler’in bedeli, Sözleşme </w:t>
      </w:r>
      <w:r w:rsidR="008A1B94">
        <w:rPr>
          <w:rFonts w:ascii="Calibri" w:hAnsi="Calibri"/>
          <w:color w:val="000000" w:themeColor="text1"/>
          <w:sz w:val="22"/>
          <w:szCs w:val="22"/>
        </w:rPr>
        <w:t xml:space="preserve">Ek-2 </w:t>
      </w:r>
      <w:r w:rsidRPr="00A5362D">
        <w:rPr>
          <w:rFonts w:ascii="Calibri" w:hAnsi="Calibri"/>
          <w:color w:val="000000" w:themeColor="text1"/>
          <w:sz w:val="22"/>
          <w:szCs w:val="22"/>
        </w:rPr>
        <w:t xml:space="preserve">Birim Fiyat Listesi’nde belirtilen birim bedeller kullanılarak hesaplanacaktır. Sözleşme imza tarihinden itibaren 1 yılın sonunda ve 18.madde uyarınca uzaması halinde her yeni Sözleşme yılı için birim fiyatlarda </w:t>
      </w:r>
      <w:r w:rsidR="008A1B94">
        <w:rPr>
          <w:rFonts w:ascii="Calibri" w:hAnsi="Calibri"/>
          <w:color w:val="000000" w:themeColor="text1"/>
          <w:sz w:val="22"/>
          <w:szCs w:val="22"/>
        </w:rPr>
        <w:t>Sözleşme eki Teknik Ş</w:t>
      </w:r>
      <w:r w:rsidR="00EF61BD">
        <w:rPr>
          <w:rFonts w:ascii="Calibri" w:hAnsi="Calibri"/>
          <w:color w:val="000000" w:themeColor="text1"/>
          <w:sz w:val="22"/>
          <w:szCs w:val="22"/>
        </w:rPr>
        <w:t>artname</w:t>
      </w:r>
      <w:r w:rsidR="008A1B94">
        <w:rPr>
          <w:rFonts w:ascii="Calibri" w:hAnsi="Calibri"/>
          <w:color w:val="000000" w:themeColor="text1"/>
          <w:sz w:val="22"/>
          <w:szCs w:val="22"/>
        </w:rPr>
        <w:t>’</w:t>
      </w:r>
      <w:r w:rsidR="00EF61BD">
        <w:rPr>
          <w:rFonts w:ascii="Calibri" w:hAnsi="Calibri"/>
          <w:color w:val="000000" w:themeColor="text1"/>
          <w:sz w:val="22"/>
          <w:szCs w:val="22"/>
        </w:rPr>
        <w:t xml:space="preserve">de </w:t>
      </w:r>
      <w:r w:rsidR="008A1B94">
        <w:rPr>
          <w:rFonts w:ascii="Calibri" w:hAnsi="Calibri"/>
          <w:color w:val="000000" w:themeColor="text1"/>
          <w:sz w:val="22"/>
          <w:szCs w:val="22"/>
        </w:rPr>
        <w:t xml:space="preserve">ile belirlen esaslar dahilinde </w:t>
      </w:r>
      <w:r w:rsidRPr="00A5362D">
        <w:rPr>
          <w:rFonts w:ascii="Calibri" w:hAnsi="Calibri"/>
          <w:color w:val="000000" w:themeColor="text1"/>
          <w:sz w:val="22"/>
          <w:szCs w:val="22"/>
        </w:rPr>
        <w:t xml:space="preserve">artış yapılabilecektir. </w:t>
      </w:r>
    </w:p>
    <w:p w14:paraId="182E2760" w14:textId="77777777" w:rsidR="0091752B" w:rsidRPr="00A5362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A5362D">
        <w:rPr>
          <w:rFonts w:asciiTheme="minorHAnsi" w:hAnsiTheme="minorHAnsi" w:cstheme="minorHAnsi"/>
          <w:sz w:val="22"/>
          <w:szCs w:val="22"/>
        </w:rPr>
        <w:t>Yüklenici, Personel’in mesai, ulaşım, konaklama, yemek vb. sebebiyle yaptığı harcamalara ilişkin ödemeler dâhil ancak bunlarla sınırlı olmamak üzere her ne nam altında olursa olsun TTG’den herhangi bir ek ödeme talebinde bulunmayacaktır.</w:t>
      </w:r>
    </w:p>
    <w:p w14:paraId="6A313401" w14:textId="68B0BE29" w:rsidR="0091752B" w:rsidRPr="00A5362D" w:rsidRDefault="009C544D"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A5362D">
        <w:rPr>
          <w:rFonts w:asciiTheme="minorHAnsi" w:hAnsiTheme="minorHAnsi" w:cstheme="minorHAnsi"/>
          <w:sz w:val="22"/>
          <w:szCs w:val="22"/>
        </w:rPr>
        <w:t>Yüklenici, Sözleşme/</w:t>
      </w:r>
      <w:r w:rsidR="00325470" w:rsidRPr="00A5362D" w:rsidDel="00325470">
        <w:rPr>
          <w:rFonts w:asciiTheme="minorHAnsi" w:hAnsiTheme="minorHAnsi" w:cstheme="minorHAnsi"/>
          <w:sz w:val="22"/>
          <w:szCs w:val="22"/>
        </w:rPr>
        <w:t xml:space="preserve"> </w:t>
      </w:r>
      <w:r w:rsidRPr="00A5362D">
        <w:rPr>
          <w:rFonts w:asciiTheme="minorHAnsi" w:hAnsiTheme="minorHAnsi" w:cstheme="minorHAnsi"/>
          <w:sz w:val="22"/>
          <w:szCs w:val="22"/>
        </w:rPr>
        <w:t xml:space="preserve">Satınalma Siparişi ile süre içerisinde “taahhüdün tamamen ifasına kadar” mal veya malzemelerin menşei yerinde alınan vergiler ve fiyatların artması, yeni vergiler ve resimler konulması, fiyatların yükselmesi, taşıma ve işçi ücretlerinin artması, ithalat sorunları gibi ya da farklı herhangi bir nedene dayanarak belirlenen fiyatlarda herhangi bir artış veya süre uzatımı isteğinde bulunamayacağını beyan ve taahhüt etmiştir. </w:t>
      </w:r>
    </w:p>
    <w:p w14:paraId="395605D4" w14:textId="577627D2" w:rsidR="00A5362D" w:rsidRPr="00A5362D" w:rsidRDefault="009C544D" w:rsidP="00A5362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A5362D">
        <w:rPr>
          <w:rFonts w:asciiTheme="minorHAnsi" w:hAnsiTheme="minorHAnsi" w:cstheme="minorHAnsi"/>
          <w:sz w:val="22"/>
          <w:szCs w:val="22"/>
        </w:rPr>
        <w:t>Sözleşme’ye atfen çıkartılmış Satınalma Siparişi’ne konu taahhüdün tamamen ifası için gerekli ancak Yüklenici tarafından fiyatlandırılmamış herhangi bir Hizmet için Yüklenici TTG’den her ne nam altında olursa olsun herhangi bir bedel talep etmeksizi</w:t>
      </w:r>
      <w:r w:rsidR="00A5362D" w:rsidRPr="00A5362D">
        <w:rPr>
          <w:rFonts w:asciiTheme="minorHAnsi" w:hAnsiTheme="minorHAnsi" w:cstheme="minorHAnsi"/>
          <w:sz w:val="22"/>
          <w:szCs w:val="22"/>
        </w:rPr>
        <w:t>n bu Hizmetler’i sağlayacaktır.</w:t>
      </w:r>
    </w:p>
    <w:p w14:paraId="204C30D6" w14:textId="29F4D308" w:rsidR="0091752B" w:rsidRPr="00DC61D0" w:rsidRDefault="00A5362D" w:rsidP="00A5362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DC61D0">
        <w:rPr>
          <w:rFonts w:ascii="Calibri" w:hAnsi="Calibri"/>
          <w:sz w:val="22"/>
          <w:szCs w:val="22"/>
        </w:rPr>
        <w:t xml:space="preserve">Yüklenici işbu Sözleşme kapsamında alınacak hizmetlerin maliyetlerinde Devlet tarafından kendisine verilen teşvik tutarlarının tamamını TTG’ye yansıtmakla yükümlüdür. </w:t>
      </w:r>
    </w:p>
    <w:p w14:paraId="305093C1" w14:textId="77777777" w:rsidR="00A5362D" w:rsidRPr="00A5362D" w:rsidRDefault="00A5362D" w:rsidP="00A5362D">
      <w:pPr>
        <w:pStyle w:val="ListParagraph"/>
        <w:spacing w:before="240" w:after="240" w:line="276" w:lineRule="auto"/>
        <w:ind w:left="0"/>
        <w:contextualSpacing/>
        <w:jc w:val="both"/>
        <w:rPr>
          <w:rFonts w:asciiTheme="minorHAnsi" w:hAnsiTheme="minorHAnsi" w:cstheme="minorHAnsi"/>
          <w:sz w:val="22"/>
          <w:szCs w:val="22"/>
        </w:rPr>
      </w:pPr>
    </w:p>
    <w:p w14:paraId="6944F843" w14:textId="1BA72573" w:rsidR="00E15493" w:rsidRPr="00696B5D" w:rsidRDefault="00E15493" w:rsidP="00696B5D">
      <w:pPr>
        <w:pStyle w:val="ListParagraph"/>
        <w:numPr>
          <w:ilvl w:val="1"/>
          <w:numId w:val="3"/>
        </w:numPr>
        <w:spacing w:before="240" w:after="240" w:line="276" w:lineRule="auto"/>
        <w:ind w:left="432"/>
        <w:contextualSpacing/>
        <w:jc w:val="both"/>
        <w:rPr>
          <w:rFonts w:asciiTheme="minorHAnsi" w:hAnsiTheme="minorHAnsi" w:cstheme="minorHAnsi"/>
          <w:b/>
          <w:sz w:val="22"/>
          <w:szCs w:val="22"/>
        </w:rPr>
      </w:pPr>
      <w:r w:rsidRPr="00696B5D">
        <w:rPr>
          <w:rFonts w:asciiTheme="minorHAnsi" w:hAnsiTheme="minorHAnsi" w:cstheme="minorHAnsi"/>
          <w:b/>
          <w:sz w:val="22"/>
          <w:szCs w:val="22"/>
        </w:rPr>
        <w:t>Faturalama</w:t>
      </w:r>
    </w:p>
    <w:p w14:paraId="6D4DD715" w14:textId="6AE279D4" w:rsidR="0091752B" w:rsidRPr="00696B5D" w:rsidRDefault="0091752B"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İşbu Sözleşme/</w:t>
      </w:r>
      <w:r w:rsidR="00325470" w:rsidRPr="00696B5D" w:rsidDel="00325470">
        <w:rPr>
          <w:rFonts w:asciiTheme="minorHAnsi" w:hAnsiTheme="minorHAnsi" w:cstheme="minorHAnsi"/>
          <w:sz w:val="22"/>
          <w:szCs w:val="22"/>
        </w:rPr>
        <w:t xml:space="preserve"> </w:t>
      </w:r>
      <w:r w:rsidRPr="00696B5D">
        <w:rPr>
          <w:rFonts w:asciiTheme="minorHAnsi" w:hAnsiTheme="minorHAnsi" w:cstheme="minorHAnsi"/>
          <w:sz w:val="22"/>
          <w:szCs w:val="22"/>
        </w:rPr>
        <w:t xml:space="preserve">Satınalma Siparişi kapsamındaki alımların Grup Şirketleri’nden her birine ayrı ayrı faturalandırılması esastır. İlgili İş Emri/Satınalma Siparişleri’nde ve/veya bunların eklerinde, hangi Grup Şirketi’nin hangi oranda/tutarda ödeme yapacağı belirtilecektir. Yüklenici, ilgili Grup Şirketi tarafından kendisine bildirilecek olan, SAP sisteminde üretilmiş onaylı SAS/PO (satın alma siparişi) numarasını fatura üzerine ekleyerek, faturayı ilgili Grup Şirketi’ne iletecektir. Yüklenici düzenleyeceği faturalara, TTG’nin ön </w:t>
      </w:r>
      <w:r w:rsidRPr="00696B5D">
        <w:rPr>
          <w:rFonts w:asciiTheme="minorHAnsi" w:hAnsiTheme="minorHAnsi" w:cstheme="minorHAnsi"/>
          <w:sz w:val="22"/>
          <w:szCs w:val="22"/>
        </w:rPr>
        <w:lastRenderedPageBreak/>
        <w:t>onayı ile üçüncü şahıslara yaptırmış olduğu işlerle ilgili her türlü detayı içeren alt faturaların ve varsa diğer belgelerin fotokopilerini de ekleyecektir.</w:t>
      </w:r>
    </w:p>
    <w:p w14:paraId="5E41210F" w14:textId="77777777" w:rsidR="0091752B" w:rsidRPr="00696B5D" w:rsidRDefault="0091752B"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Yüklenici, işbu maddeye uygun olarak düzenlenmeyen faturaların TTG’ye iletilmesi halinde TTG’nin söz konusu fatura tutar(lar)ını ödememe, kayıtlarına almama ve/veya faturayı iade etme hakkına sahip olduğunu, bu bağlamda faturaların ödenmemiş olmasından dolayı TTG’nin temerrüde düştüğü, yükümlülüklerini yerine getirmediği ve benzeri itirazlarda bulunamayacağını kabul, beyan ve taahhüt eder.</w:t>
      </w:r>
    </w:p>
    <w:p w14:paraId="2294E45E" w14:textId="36775D58" w:rsidR="00E15493" w:rsidRDefault="0091752B" w:rsidP="00A5362D">
      <w:pPr>
        <w:pStyle w:val="ListParagraph"/>
        <w:numPr>
          <w:ilvl w:val="2"/>
          <w:numId w:val="3"/>
        </w:numPr>
        <w:spacing w:before="240" w:after="240" w:line="276" w:lineRule="auto"/>
        <w:contextualSpacing/>
        <w:jc w:val="both"/>
        <w:rPr>
          <w:rFonts w:asciiTheme="minorHAnsi" w:hAnsiTheme="minorHAnsi" w:cstheme="minorHAnsi"/>
          <w:sz w:val="22"/>
          <w:szCs w:val="22"/>
        </w:rPr>
      </w:pPr>
      <w:r w:rsidRPr="00696B5D">
        <w:rPr>
          <w:rFonts w:asciiTheme="minorHAnsi" w:hAnsiTheme="minorHAnsi" w:cstheme="minorHAnsi"/>
          <w:sz w:val="22"/>
          <w:szCs w:val="22"/>
        </w:rPr>
        <w:t>Fatura adresi Acıbadem Mh, Acıbadem Cd. No:150 Kat:10 Üsküdar/İstanbul’dur.</w:t>
      </w:r>
    </w:p>
    <w:p w14:paraId="1C44D61B" w14:textId="77777777" w:rsidR="00A5362D" w:rsidRPr="00A5362D" w:rsidRDefault="00A5362D" w:rsidP="00A5362D">
      <w:pPr>
        <w:pStyle w:val="ListParagraph"/>
        <w:spacing w:before="240" w:after="240" w:line="276" w:lineRule="auto"/>
        <w:ind w:left="504"/>
        <w:contextualSpacing/>
        <w:jc w:val="both"/>
        <w:rPr>
          <w:rFonts w:asciiTheme="minorHAnsi" w:hAnsiTheme="minorHAnsi" w:cstheme="minorHAnsi"/>
          <w:sz w:val="22"/>
          <w:szCs w:val="22"/>
        </w:rPr>
      </w:pPr>
    </w:p>
    <w:p w14:paraId="20B0E99B" w14:textId="1CC31F67" w:rsidR="00E15493" w:rsidRPr="00696B5D" w:rsidRDefault="00E15493" w:rsidP="00696B5D">
      <w:pPr>
        <w:pStyle w:val="ListParagraph"/>
        <w:numPr>
          <w:ilvl w:val="1"/>
          <w:numId w:val="3"/>
        </w:numPr>
        <w:spacing w:before="240" w:after="240" w:line="276" w:lineRule="auto"/>
        <w:ind w:left="432"/>
        <w:contextualSpacing/>
        <w:jc w:val="both"/>
        <w:rPr>
          <w:rFonts w:asciiTheme="minorHAnsi" w:hAnsiTheme="minorHAnsi" w:cstheme="minorHAnsi"/>
          <w:sz w:val="22"/>
          <w:szCs w:val="22"/>
        </w:rPr>
      </w:pPr>
      <w:r w:rsidRPr="00696B5D">
        <w:rPr>
          <w:rFonts w:asciiTheme="minorHAnsi" w:hAnsiTheme="minorHAnsi" w:cstheme="minorHAnsi"/>
          <w:b/>
          <w:sz w:val="22"/>
          <w:szCs w:val="22"/>
        </w:rPr>
        <w:t>Ödeme</w:t>
      </w:r>
    </w:p>
    <w:p w14:paraId="7F83CFA8" w14:textId="5C67C723" w:rsidR="0091752B"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İşbu Sözleşme/</w:t>
      </w:r>
      <w:r w:rsidR="00325470" w:rsidRPr="00696B5D" w:rsidDel="00325470">
        <w:rPr>
          <w:rFonts w:asciiTheme="minorHAnsi" w:hAnsiTheme="minorHAnsi" w:cstheme="minorHAnsi"/>
          <w:sz w:val="22"/>
          <w:szCs w:val="22"/>
        </w:rPr>
        <w:t xml:space="preserve"> </w:t>
      </w:r>
      <w:r w:rsidRPr="00696B5D">
        <w:rPr>
          <w:rFonts w:asciiTheme="minorHAnsi" w:hAnsiTheme="minorHAnsi" w:cstheme="minorHAnsi"/>
          <w:sz w:val="22"/>
          <w:szCs w:val="22"/>
        </w:rPr>
        <w:t>Satınalma Siparişi kapsamındaki ödeme</w:t>
      </w:r>
      <w:r w:rsidR="00BC348E" w:rsidRPr="00696B5D">
        <w:rPr>
          <w:rFonts w:asciiTheme="minorHAnsi" w:hAnsiTheme="minorHAnsi" w:cstheme="minorHAnsi"/>
          <w:sz w:val="22"/>
          <w:szCs w:val="22"/>
        </w:rPr>
        <w:t xml:space="preserve">ler, aksi TTG’ye yazılı olarak </w:t>
      </w:r>
      <w:r w:rsidRPr="00696B5D">
        <w:rPr>
          <w:rFonts w:asciiTheme="minorHAnsi" w:hAnsiTheme="minorHAnsi" w:cstheme="minorHAnsi"/>
          <w:sz w:val="22"/>
          <w:szCs w:val="22"/>
        </w:rPr>
        <w:t>bildirilmedikçe, Yüklenici’nin TTG’ye yazılı olarak bildirdiği banka hesabına yapılacaktır.</w:t>
      </w:r>
    </w:p>
    <w:p w14:paraId="7CE9D493" w14:textId="47A38F59" w:rsidR="0091752B"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 xml:space="preserve">TTG, Sözleşme’nin 7.2 maddesinde yazılı faturalama </w:t>
      </w:r>
      <w:r w:rsidR="00BC348E" w:rsidRPr="00696B5D">
        <w:rPr>
          <w:rFonts w:asciiTheme="minorHAnsi" w:hAnsiTheme="minorHAnsi" w:cstheme="minorHAnsi"/>
          <w:sz w:val="22"/>
          <w:szCs w:val="22"/>
        </w:rPr>
        <w:t xml:space="preserve">prosedürüne uygun davranılarak düzenlenen </w:t>
      </w:r>
      <w:r w:rsidRPr="00696B5D">
        <w:rPr>
          <w:rFonts w:asciiTheme="minorHAnsi" w:hAnsiTheme="minorHAnsi" w:cstheme="minorHAnsi"/>
          <w:sz w:val="22"/>
          <w:szCs w:val="22"/>
        </w:rPr>
        <w:t xml:space="preserve">ve kendisine gönderilen fatura karşılığında, aksi İş Emri’nde ve/veya Satınalma </w:t>
      </w:r>
      <w:r w:rsidRPr="00696B5D">
        <w:rPr>
          <w:rFonts w:asciiTheme="minorHAnsi" w:hAnsiTheme="minorHAnsi" w:cstheme="minorHAnsi"/>
          <w:sz w:val="22"/>
          <w:szCs w:val="22"/>
        </w:rPr>
        <w:tab/>
        <w:t>Siparişi’nde belirtilmediği sürece, faturanın tam ve hatasız olarak TTG’ye intikalini müteakip</w:t>
      </w:r>
      <w:r w:rsidR="00A5362D">
        <w:rPr>
          <w:rFonts w:asciiTheme="minorHAnsi" w:hAnsiTheme="minorHAnsi" w:cstheme="minorHAnsi"/>
          <w:sz w:val="22"/>
          <w:szCs w:val="22"/>
        </w:rPr>
        <w:t xml:space="preserve"> </w:t>
      </w:r>
      <w:r w:rsidR="00A5362D">
        <w:rPr>
          <w:rFonts w:asciiTheme="minorHAnsi" w:hAnsiTheme="minorHAnsi" w:cstheme="minorHAnsi"/>
          <w:sz w:val="22"/>
          <w:szCs w:val="22"/>
        </w:rPr>
        <w:tab/>
        <w:t>60</w:t>
      </w:r>
      <w:r w:rsidR="008A1B94">
        <w:rPr>
          <w:rFonts w:asciiTheme="minorHAnsi" w:hAnsiTheme="minorHAnsi" w:cstheme="minorHAnsi"/>
          <w:sz w:val="22"/>
          <w:szCs w:val="22"/>
        </w:rPr>
        <w:t xml:space="preserve"> (atmış)</w:t>
      </w:r>
      <w:r w:rsidR="00A5362D">
        <w:rPr>
          <w:rFonts w:asciiTheme="minorHAnsi" w:hAnsiTheme="minorHAnsi" w:cstheme="minorHAnsi"/>
          <w:sz w:val="22"/>
          <w:szCs w:val="22"/>
        </w:rPr>
        <w:t xml:space="preserve"> </w:t>
      </w:r>
      <w:r w:rsidR="00BC348E" w:rsidRPr="00696B5D">
        <w:rPr>
          <w:rFonts w:asciiTheme="minorHAnsi" w:hAnsiTheme="minorHAnsi" w:cstheme="minorHAnsi"/>
          <w:sz w:val="22"/>
          <w:szCs w:val="22"/>
        </w:rPr>
        <w:t xml:space="preserve">gün sonraki </w:t>
      </w:r>
      <w:r w:rsidRPr="00696B5D">
        <w:rPr>
          <w:rFonts w:asciiTheme="minorHAnsi" w:hAnsiTheme="minorHAnsi" w:cstheme="minorHAnsi"/>
          <w:sz w:val="22"/>
          <w:szCs w:val="22"/>
        </w:rPr>
        <w:t>ilk Ödeme Günü’nde Yüklenici’ye ödeme yapacaktır.</w:t>
      </w:r>
    </w:p>
    <w:p w14:paraId="05725B92" w14:textId="072F6A5C"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TTG, ödemenin yapılacağı toplam süreyi değiştirmemek kayd</w:t>
      </w:r>
      <w:r w:rsidR="00BC348E" w:rsidRPr="00696B5D">
        <w:rPr>
          <w:rFonts w:asciiTheme="minorHAnsi" w:hAnsiTheme="minorHAnsi" w:cstheme="minorHAnsi"/>
          <w:sz w:val="22"/>
          <w:szCs w:val="22"/>
        </w:rPr>
        <w:t xml:space="preserve">ıyla Ödeme Günü’nde değişiklik </w:t>
      </w:r>
      <w:r w:rsidRPr="00696B5D">
        <w:rPr>
          <w:rFonts w:asciiTheme="minorHAnsi" w:hAnsiTheme="minorHAnsi" w:cstheme="minorHAnsi"/>
          <w:sz w:val="22"/>
          <w:szCs w:val="22"/>
        </w:rPr>
        <w:t xml:space="preserve">yapma hakkını saklı tutar. </w:t>
      </w:r>
    </w:p>
    <w:p w14:paraId="330B0055" w14:textId="3F665B0A" w:rsidR="00E15493" w:rsidRPr="00696B5D" w:rsidRDefault="00E15493" w:rsidP="00696B5D">
      <w:pPr>
        <w:pStyle w:val="ListParagraph"/>
        <w:numPr>
          <w:ilvl w:val="2"/>
          <w:numId w:val="3"/>
        </w:numPr>
        <w:spacing w:after="240" w:line="276" w:lineRule="auto"/>
        <w:ind w:left="0" w:firstLine="0"/>
        <w:contextualSpacing/>
        <w:jc w:val="both"/>
        <w:rPr>
          <w:rFonts w:asciiTheme="minorHAnsi" w:hAnsiTheme="minorHAnsi" w:cstheme="minorHAnsi"/>
          <w:sz w:val="22"/>
          <w:szCs w:val="22"/>
        </w:rPr>
      </w:pPr>
      <w:r w:rsidRPr="00696B5D">
        <w:rPr>
          <w:rFonts w:asciiTheme="minorHAnsi" w:hAnsiTheme="minorHAnsi" w:cstheme="minorHAnsi"/>
          <w:sz w:val="22"/>
          <w:szCs w:val="22"/>
        </w:rPr>
        <w:t>Yüklenici, işbu Sözleşme ve eklerinde belirtilmiş olan yüküml</w:t>
      </w:r>
      <w:r w:rsidR="00BC348E" w:rsidRPr="00696B5D">
        <w:rPr>
          <w:rFonts w:asciiTheme="minorHAnsi" w:hAnsiTheme="minorHAnsi" w:cstheme="minorHAnsi"/>
          <w:sz w:val="22"/>
          <w:szCs w:val="22"/>
        </w:rPr>
        <w:t xml:space="preserve">ülüklerini tam, gereği gibi ve </w:t>
      </w:r>
      <w:r w:rsidRPr="00696B5D">
        <w:rPr>
          <w:rFonts w:asciiTheme="minorHAnsi" w:hAnsiTheme="minorHAnsi" w:cstheme="minorHAnsi"/>
          <w:sz w:val="22"/>
          <w:szCs w:val="22"/>
        </w:rPr>
        <w:t>zamanında yerine getirmediği takdirde, TTG ödeme</w:t>
      </w:r>
      <w:r w:rsidR="00BC348E" w:rsidRPr="00696B5D">
        <w:rPr>
          <w:rFonts w:asciiTheme="minorHAnsi" w:hAnsiTheme="minorHAnsi" w:cstheme="minorHAnsi"/>
          <w:sz w:val="22"/>
          <w:szCs w:val="22"/>
        </w:rPr>
        <w:t xml:space="preserve">leri durdurma veya Sözleşme/İş </w:t>
      </w:r>
      <w:r w:rsidRPr="00696B5D">
        <w:rPr>
          <w:rFonts w:asciiTheme="minorHAnsi" w:hAnsiTheme="minorHAnsi" w:cstheme="minorHAnsi"/>
          <w:sz w:val="22"/>
          <w:szCs w:val="22"/>
        </w:rPr>
        <w:t>Emri/Satınalma Siparişi’ni feshetme hakkını saklı tutar.</w:t>
      </w:r>
    </w:p>
    <w:p w14:paraId="03C7D2CD" w14:textId="77777777" w:rsidR="005E7758" w:rsidRPr="005E7758" w:rsidRDefault="005E7758" w:rsidP="005E7758">
      <w:pPr>
        <w:pStyle w:val="ListParagraph"/>
        <w:spacing w:line="276" w:lineRule="auto"/>
        <w:ind w:left="504"/>
        <w:contextualSpacing/>
        <w:jc w:val="both"/>
        <w:rPr>
          <w:rFonts w:ascii="Calibri" w:hAnsi="Calibri" w:cs="Calibri"/>
          <w:sz w:val="22"/>
          <w:szCs w:val="22"/>
        </w:rPr>
      </w:pPr>
    </w:p>
    <w:p w14:paraId="6F3606B9" w14:textId="77777777" w:rsidR="00E15493" w:rsidRPr="00696B5D" w:rsidRDefault="00E15493" w:rsidP="00696B5D">
      <w:pPr>
        <w:pStyle w:val="ListParagraph"/>
        <w:numPr>
          <w:ilvl w:val="0"/>
          <w:numId w:val="3"/>
        </w:numPr>
        <w:spacing w:after="240" w:line="276" w:lineRule="auto"/>
        <w:contextualSpacing/>
        <w:rPr>
          <w:rFonts w:asciiTheme="minorHAnsi" w:hAnsiTheme="minorHAnsi" w:cstheme="minorHAnsi"/>
          <w:sz w:val="22"/>
          <w:szCs w:val="22"/>
        </w:rPr>
      </w:pPr>
      <w:r w:rsidRPr="00696B5D">
        <w:rPr>
          <w:rFonts w:asciiTheme="minorHAnsi" w:eastAsia="Calibri" w:hAnsiTheme="minorHAnsi" w:cstheme="minorHAnsi"/>
          <w:b/>
          <w:sz w:val="22"/>
          <w:szCs w:val="22"/>
          <w:lang w:val="en-US"/>
        </w:rPr>
        <w:t xml:space="preserve"> VERGİLER</w:t>
      </w:r>
    </w:p>
    <w:p w14:paraId="299E3D5D" w14:textId="48CCCF93" w:rsidR="00E74E71" w:rsidRPr="00A5362D" w:rsidRDefault="00E15493" w:rsidP="00696B5D">
      <w:pPr>
        <w:spacing w:after="240" w:line="276" w:lineRule="auto"/>
        <w:jc w:val="both"/>
        <w:rPr>
          <w:rFonts w:cstheme="minorHAnsi"/>
          <w:lang w:val="en-GB"/>
        </w:rPr>
      </w:pPr>
      <w:r w:rsidRPr="00696B5D">
        <w:rPr>
          <w:rFonts w:cstheme="minorHAnsi"/>
          <w:color w:val="000000"/>
        </w:rPr>
        <w:t xml:space="preserve">Sözleşme ve/veya ekleri kapsamında doğan damga vergisi dahil tüm vergiler, harçlar, fonlar, ödeme masrafları ve tüm noter giderleri Yüklenici’nin sorumluluğundadır. Sözleşme’nin imzalanmasının hemen ardından, damga vergisi Yüklenici tarafından </w:t>
      </w:r>
      <w:r w:rsidR="00E20039" w:rsidRPr="00696B5D">
        <w:rPr>
          <w:rFonts w:cstheme="minorHAnsi"/>
          <w:color w:val="000000"/>
        </w:rPr>
        <w:t xml:space="preserve">beyan edilip </w:t>
      </w:r>
      <w:r w:rsidRPr="00696B5D">
        <w:rPr>
          <w:rFonts w:cstheme="minorHAnsi"/>
          <w:color w:val="000000"/>
        </w:rPr>
        <w:t xml:space="preserve">ödenecek olup, bu bedel karşılığı TTG tarafından Yüklenici’ye fatura </w:t>
      </w:r>
      <w:r w:rsidR="00E20039" w:rsidRPr="00696B5D">
        <w:rPr>
          <w:rFonts w:cstheme="minorHAnsi"/>
          <w:lang w:val="en-GB"/>
        </w:rPr>
        <w:t>edilerek haricen tahsil edilecek veya Yüklenici al</w:t>
      </w:r>
      <w:r w:rsidR="00A5362D">
        <w:rPr>
          <w:rFonts w:cstheme="minorHAnsi"/>
          <w:lang w:val="en-GB"/>
        </w:rPr>
        <w:t>acaklarından mahsup edilecektir</w:t>
      </w:r>
    </w:p>
    <w:p w14:paraId="3298347F" w14:textId="77777777" w:rsidR="00E15493" w:rsidRPr="00696B5D" w:rsidRDefault="00E15493" w:rsidP="00696B5D">
      <w:pPr>
        <w:pStyle w:val="ListParagraph"/>
        <w:numPr>
          <w:ilvl w:val="0"/>
          <w:numId w:val="3"/>
        </w:numPr>
        <w:spacing w:after="240" w:line="276" w:lineRule="auto"/>
        <w:contextualSpacing/>
        <w:rPr>
          <w:rFonts w:asciiTheme="minorHAnsi" w:hAnsiTheme="minorHAnsi" w:cstheme="minorHAnsi"/>
          <w:sz w:val="22"/>
          <w:szCs w:val="22"/>
        </w:rPr>
      </w:pPr>
      <w:r w:rsidRPr="00696B5D">
        <w:rPr>
          <w:rFonts w:asciiTheme="minorHAnsi" w:eastAsia="Calibri" w:hAnsiTheme="minorHAnsi" w:cstheme="minorHAnsi"/>
          <w:b/>
          <w:sz w:val="22"/>
          <w:szCs w:val="22"/>
          <w:lang w:val="en-US"/>
        </w:rPr>
        <w:t>TEMİNAT YÜKÜMLÜLÜKLERİ</w:t>
      </w:r>
    </w:p>
    <w:p w14:paraId="02E1652C" w14:textId="7C1B34FE" w:rsidR="00E15493" w:rsidRPr="00A5362D" w:rsidRDefault="00E15493" w:rsidP="00696B5D">
      <w:pPr>
        <w:pStyle w:val="ListParagraph"/>
        <w:numPr>
          <w:ilvl w:val="1"/>
          <w:numId w:val="3"/>
        </w:numPr>
        <w:spacing w:before="240" w:after="240" w:line="276" w:lineRule="auto"/>
        <w:ind w:left="432"/>
        <w:contextualSpacing/>
        <w:jc w:val="both"/>
        <w:rPr>
          <w:rFonts w:asciiTheme="minorHAnsi" w:hAnsiTheme="minorHAnsi" w:cstheme="minorHAnsi"/>
          <w:color w:val="000000"/>
          <w:sz w:val="22"/>
          <w:szCs w:val="22"/>
        </w:rPr>
      </w:pPr>
      <w:r w:rsidRPr="00696B5D">
        <w:rPr>
          <w:rFonts w:asciiTheme="minorHAnsi" w:hAnsiTheme="minorHAnsi" w:cstheme="minorHAnsi"/>
          <w:sz w:val="22"/>
          <w:szCs w:val="22"/>
        </w:rPr>
        <w:t>Yüklenici;</w:t>
      </w:r>
    </w:p>
    <w:p w14:paraId="3ACCF454" w14:textId="77777777" w:rsidR="00E74E71" w:rsidRPr="00A5362D" w:rsidRDefault="00E74E71" w:rsidP="00696B5D">
      <w:pPr>
        <w:pStyle w:val="ListParagraph"/>
        <w:spacing w:before="240" w:after="240" w:line="276" w:lineRule="auto"/>
        <w:ind w:left="0"/>
        <w:contextualSpacing/>
        <w:jc w:val="both"/>
        <w:rPr>
          <w:rFonts w:asciiTheme="minorHAnsi" w:hAnsiTheme="minorHAnsi" w:cstheme="minorHAnsi"/>
          <w:color w:val="000000"/>
          <w:sz w:val="22"/>
          <w:szCs w:val="22"/>
        </w:rPr>
      </w:pPr>
    </w:p>
    <w:p w14:paraId="6BFB7FBF" w14:textId="275E83FF" w:rsidR="00E74E71" w:rsidRPr="00A5362D" w:rsidRDefault="00E74E71"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A5362D">
        <w:rPr>
          <w:rFonts w:asciiTheme="minorHAnsi" w:hAnsiTheme="minorHAnsi" w:cstheme="minorHAnsi"/>
          <w:sz w:val="22"/>
          <w:szCs w:val="22"/>
        </w:rPr>
        <w:t>Sözleşme</w:t>
      </w:r>
      <w:r w:rsidR="00E20039" w:rsidRPr="00A5362D">
        <w:rPr>
          <w:rFonts w:asciiTheme="minorHAnsi" w:hAnsiTheme="minorHAnsi" w:cstheme="minorHAnsi"/>
          <w:sz w:val="22"/>
          <w:szCs w:val="22"/>
        </w:rPr>
        <w:t xml:space="preserve">/İş Emri/Satınalma </w:t>
      </w:r>
      <w:r w:rsidRPr="00A5362D">
        <w:rPr>
          <w:rFonts w:asciiTheme="minorHAnsi" w:hAnsiTheme="minorHAnsi" w:cstheme="minorHAnsi"/>
          <w:sz w:val="22"/>
          <w:szCs w:val="22"/>
        </w:rPr>
        <w:t>Siparişi’nde düzenlenen yükümlülüklerinin usulüne uygun</w:t>
      </w:r>
      <w:r w:rsidR="00E20039" w:rsidRPr="00A5362D">
        <w:rPr>
          <w:rFonts w:asciiTheme="minorHAnsi" w:hAnsiTheme="minorHAnsi" w:cstheme="minorHAnsi"/>
          <w:sz w:val="22"/>
          <w:szCs w:val="22"/>
        </w:rPr>
        <w:t xml:space="preserve"> surette ve zamanında ifasının </w:t>
      </w:r>
      <w:r w:rsidRPr="00A5362D">
        <w:rPr>
          <w:rFonts w:asciiTheme="minorHAnsi" w:hAnsiTheme="minorHAnsi" w:cstheme="minorHAnsi"/>
          <w:sz w:val="22"/>
          <w:szCs w:val="22"/>
        </w:rPr>
        <w:t xml:space="preserve">teminatı olarak, </w:t>
      </w:r>
      <w:r w:rsidR="00EF61BD">
        <w:rPr>
          <w:rFonts w:ascii="Calibri" w:hAnsi="Calibri"/>
          <w:color w:val="000000"/>
          <w:sz w:val="22"/>
          <w:szCs w:val="22"/>
        </w:rPr>
        <w:t>…………….</w:t>
      </w:r>
      <w:r w:rsidR="00A5362D" w:rsidRPr="00A5362D">
        <w:rPr>
          <w:rFonts w:ascii="Calibri" w:hAnsi="Calibri"/>
          <w:color w:val="000000"/>
          <w:sz w:val="22"/>
          <w:szCs w:val="22"/>
        </w:rPr>
        <w:t xml:space="preserve"> (</w:t>
      </w:r>
      <w:r w:rsidR="00EF61BD">
        <w:rPr>
          <w:rFonts w:ascii="Calibri" w:hAnsi="Calibri"/>
          <w:color w:val="000000"/>
          <w:sz w:val="22"/>
          <w:szCs w:val="22"/>
        </w:rPr>
        <w:t>……………..</w:t>
      </w:r>
      <w:r w:rsidR="00EF61BD" w:rsidRPr="00A5362D">
        <w:rPr>
          <w:rFonts w:ascii="Calibri" w:hAnsi="Calibri"/>
          <w:color w:val="000000"/>
          <w:sz w:val="22"/>
          <w:szCs w:val="22"/>
        </w:rPr>
        <w:t xml:space="preserve"> </w:t>
      </w:r>
      <w:r w:rsidR="00A5362D" w:rsidRPr="00A5362D">
        <w:rPr>
          <w:rFonts w:ascii="Calibri" w:hAnsi="Calibri"/>
          <w:color w:val="000000"/>
          <w:sz w:val="22"/>
          <w:szCs w:val="22"/>
        </w:rPr>
        <w:t>TürkLirası) tutarında, süresiz (veya en az 3 yıl süreli</w:t>
      </w:r>
      <w:r w:rsidR="00A5362D">
        <w:rPr>
          <w:rFonts w:ascii="Calibri" w:hAnsi="Calibri"/>
          <w:color w:val="000000"/>
          <w:sz w:val="22"/>
          <w:szCs w:val="22"/>
        </w:rPr>
        <w:t>)</w:t>
      </w:r>
      <w:r w:rsidR="00A5362D" w:rsidRPr="00A5362D">
        <w:rPr>
          <w:rFonts w:asciiTheme="minorHAnsi" w:hAnsiTheme="minorHAnsi" w:cstheme="minorHAnsi"/>
          <w:sz w:val="22"/>
          <w:szCs w:val="22"/>
        </w:rPr>
        <w:t xml:space="preserve"> </w:t>
      </w:r>
      <w:r w:rsidRPr="00A5362D">
        <w:rPr>
          <w:rFonts w:asciiTheme="minorHAnsi" w:hAnsiTheme="minorHAnsi" w:cstheme="minorHAnsi"/>
          <w:sz w:val="22"/>
          <w:szCs w:val="22"/>
        </w:rPr>
        <w:t>kesin teminat mektubu vermeyi,</w:t>
      </w:r>
    </w:p>
    <w:p w14:paraId="556FB9A9" w14:textId="323ADE89"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Teminat olarak kabul edilebilecek değerlerin; tedavüldeki T</w:t>
      </w:r>
      <w:r w:rsidR="00E20039" w:rsidRPr="00696B5D">
        <w:rPr>
          <w:rFonts w:asciiTheme="minorHAnsi" w:hAnsiTheme="minorHAnsi" w:cstheme="minorHAnsi"/>
          <w:color w:val="000000"/>
          <w:sz w:val="22"/>
          <w:szCs w:val="22"/>
        </w:rPr>
        <w:t xml:space="preserve">ürk parası, konvertibl yabancı </w:t>
      </w:r>
      <w:r w:rsidRPr="00696B5D">
        <w:rPr>
          <w:rFonts w:asciiTheme="minorHAnsi" w:hAnsiTheme="minorHAnsi" w:cstheme="minorHAnsi"/>
          <w:color w:val="000000"/>
          <w:sz w:val="22"/>
          <w:szCs w:val="22"/>
        </w:rPr>
        <w:t xml:space="preserve">ülke parası, devlet tahvilleri, hazine bonoları ile Bankacılık Düzenleme ve Denetleme </w:t>
      </w:r>
      <w:r w:rsidRPr="00696B5D">
        <w:rPr>
          <w:rFonts w:asciiTheme="minorHAnsi" w:hAnsiTheme="minorHAnsi" w:cstheme="minorHAnsi"/>
          <w:color w:val="000000"/>
          <w:sz w:val="22"/>
          <w:szCs w:val="22"/>
        </w:rPr>
        <w:tab/>
      </w:r>
      <w:r w:rsidR="00A5362D">
        <w:rPr>
          <w:rFonts w:asciiTheme="minorHAnsi" w:hAnsiTheme="minorHAnsi" w:cstheme="minorHAnsi"/>
          <w:color w:val="000000"/>
          <w:sz w:val="22"/>
          <w:szCs w:val="22"/>
        </w:rPr>
        <w:t xml:space="preserve">Kurumunca </w:t>
      </w:r>
      <w:r w:rsidRPr="00696B5D">
        <w:rPr>
          <w:rFonts w:asciiTheme="minorHAnsi" w:hAnsiTheme="minorHAnsi" w:cstheme="minorHAnsi"/>
          <w:color w:val="000000"/>
          <w:sz w:val="22"/>
          <w:szCs w:val="22"/>
        </w:rPr>
        <w:t>teminat mektubu düzenleme yetkisi verile</w:t>
      </w:r>
      <w:r w:rsidR="0038603D" w:rsidRPr="00696B5D">
        <w:rPr>
          <w:rFonts w:asciiTheme="minorHAnsi" w:hAnsiTheme="minorHAnsi" w:cstheme="minorHAnsi"/>
          <w:color w:val="000000"/>
          <w:sz w:val="22"/>
          <w:szCs w:val="22"/>
        </w:rPr>
        <w:t xml:space="preserve">n banka ve finans kurumlarınca </w:t>
      </w:r>
      <w:r w:rsidRPr="00696B5D">
        <w:rPr>
          <w:rFonts w:asciiTheme="minorHAnsi" w:hAnsiTheme="minorHAnsi" w:cstheme="minorHAnsi"/>
          <w:color w:val="000000"/>
          <w:sz w:val="22"/>
          <w:szCs w:val="22"/>
        </w:rPr>
        <w:t>düzenlenmiş teminat mektupları olacağını,</w:t>
      </w:r>
    </w:p>
    <w:p w14:paraId="3A325E90" w14:textId="53B495DB"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Kesin teminatı İş Emri’nin imzası öncesinde veya imza tarihte</w:t>
      </w:r>
      <w:r w:rsidR="0038603D" w:rsidRPr="00696B5D">
        <w:rPr>
          <w:rFonts w:asciiTheme="minorHAnsi" w:hAnsiTheme="minorHAnsi" w:cstheme="minorHAnsi"/>
          <w:color w:val="000000"/>
          <w:sz w:val="22"/>
          <w:szCs w:val="22"/>
        </w:rPr>
        <w:t xml:space="preserve">n itibaren 7 (yedi) gün içinde </w:t>
      </w:r>
      <w:r w:rsidRPr="00696B5D">
        <w:rPr>
          <w:rFonts w:asciiTheme="minorHAnsi" w:hAnsiTheme="minorHAnsi" w:cstheme="minorHAnsi"/>
          <w:color w:val="000000"/>
          <w:sz w:val="22"/>
          <w:szCs w:val="22"/>
        </w:rPr>
        <w:t>TTG’ye teslim edeceğini, İş Emri yapılmamış olması durumunda Satınalma Siparişi’nin geçilmesinin öncesinde veya Satınalma Siparişi’nin TTG tarafından iletildiği tarihten itibaren 7</w:t>
      </w:r>
      <w:r w:rsidR="0038603D" w:rsidRPr="00696B5D">
        <w:rPr>
          <w:rFonts w:asciiTheme="minorHAnsi" w:hAnsiTheme="minorHAnsi" w:cstheme="minorHAnsi"/>
          <w:color w:val="000000"/>
          <w:sz w:val="22"/>
          <w:szCs w:val="22"/>
        </w:rPr>
        <w:t xml:space="preserve"> </w:t>
      </w:r>
      <w:r w:rsidRPr="00696B5D">
        <w:rPr>
          <w:rFonts w:asciiTheme="minorHAnsi" w:hAnsiTheme="minorHAnsi" w:cstheme="minorHAnsi"/>
          <w:color w:val="000000"/>
          <w:sz w:val="22"/>
          <w:szCs w:val="22"/>
        </w:rPr>
        <w:t>(yedi) gün içinde TTG’ye teslim edeceğini,</w:t>
      </w:r>
    </w:p>
    <w:p w14:paraId="39628FCE" w14:textId="13297E9C"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lastRenderedPageBreak/>
        <w:t>Teminat mektubunun Sözleşme ve/veya ilgili Satınalma Siparişi’n</w:t>
      </w:r>
      <w:r w:rsidR="0038603D" w:rsidRPr="00696B5D">
        <w:rPr>
          <w:rFonts w:asciiTheme="minorHAnsi" w:hAnsiTheme="minorHAnsi" w:cstheme="minorHAnsi"/>
          <w:color w:val="000000"/>
          <w:sz w:val="22"/>
          <w:szCs w:val="22"/>
        </w:rPr>
        <w:t xml:space="preserve">de belirtilen şekilde </w:t>
      </w:r>
      <w:r w:rsidRPr="00696B5D">
        <w:rPr>
          <w:rFonts w:asciiTheme="minorHAnsi" w:hAnsiTheme="minorHAnsi" w:cstheme="minorHAnsi"/>
          <w:color w:val="000000"/>
          <w:sz w:val="22"/>
          <w:szCs w:val="22"/>
        </w:rPr>
        <w:t xml:space="preserve">ve/veya hiç teslim edilmemesi halinde, </w:t>
      </w:r>
      <w:r w:rsidR="004A1EF7" w:rsidRPr="00696B5D">
        <w:rPr>
          <w:rFonts w:asciiTheme="minorHAnsi" w:hAnsiTheme="minorHAnsi" w:cstheme="minorHAnsi"/>
          <w:sz w:val="22"/>
          <w:szCs w:val="22"/>
        </w:rPr>
        <w:t>TTG ‘nin insiyatifinde olmak üzere, i)</w:t>
      </w:r>
      <w:r w:rsidR="004A1EF7" w:rsidRPr="00696B5D">
        <w:rPr>
          <w:rFonts w:asciiTheme="minorHAnsi" w:hAnsiTheme="minorHAnsi" w:cstheme="minorHAnsi"/>
          <w:color w:val="000000"/>
          <w:sz w:val="22"/>
          <w:szCs w:val="22"/>
          <w:lang w:val="en-US"/>
        </w:rPr>
        <w:t xml:space="preserve"> </w:t>
      </w:r>
      <w:r w:rsidRPr="00696B5D">
        <w:rPr>
          <w:rFonts w:asciiTheme="minorHAnsi" w:hAnsiTheme="minorHAnsi" w:cstheme="minorHAnsi"/>
          <w:color w:val="000000"/>
          <w:sz w:val="22"/>
          <w:szCs w:val="22"/>
        </w:rPr>
        <w:t>Sözleşme ve/veya ilgili Satınalma Siparişi’nde yürürlüğe girmemiş ve varsa ilgili sipariş verilmemiş sayılacağını,</w:t>
      </w:r>
      <w:r w:rsidR="004A1EF7" w:rsidRPr="00696B5D">
        <w:rPr>
          <w:rFonts w:asciiTheme="minorHAnsi" w:hAnsiTheme="minorHAnsi" w:cstheme="minorHAnsi"/>
          <w:color w:val="000000"/>
          <w:sz w:val="22"/>
          <w:szCs w:val="22"/>
        </w:rPr>
        <w:t xml:space="preserve"> </w:t>
      </w:r>
      <w:r w:rsidR="004A1EF7" w:rsidRPr="00696B5D">
        <w:rPr>
          <w:rFonts w:asciiTheme="minorHAnsi" w:hAnsiTheme="minorHAnsi" w:cstheme="minorHAnsi"/>
          <w:sz w:val="22"/>
          <w:szCs w:val="22"/>
        </w:rPr>
        <w:t>ii) teminat mektubu tutarı oranında varsa Yüklenici alacaklarını verilmesi gereken teminat mektubu süresince blokajda tutulacağını,</w:t>
      </w:r>
    </w:p>
    <w:p w14:paraId="1533B558" w14:textId="00780439"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İlave Satın Alma Siparişleri veya kapsam değişiklikle</w:t>
      </w:r>
      <w:r w:rsidR="0038603D" w:rsidRPr="00696B5D">
        <w:rPr>
          <w:rFonts w:asciiTheme="minorHAnsi" w:hAnsiTheme="minorHAnsi" w:cstheme="minorHAnsi"/>
          <w:color w:val="000000"/>
          <w:sz w:val="22"/>
          <w:szCs w:val="22"/>
        </w:rPr>
        <w:t>ri gibi nedenlerle Sözleşme/</w:t>
      </w:r>
      <w:r w:rsidR="00325470" w:rsidRPr="00696B5D" w:rsidDel="00325470">
        <w:rPr>
          <w:rFonts w:asciiTheme="minorHAnsi" w:hAnsiTheme="minorHAnsi" w:cstheme="minorHAnsi"/>
          <w:color w:val="000000"/>
          <w:sz w:val="22"/>
          <w:szCs w:val="22"/>
        </w:rPr>
        <w:t xml:space="preserve"> </w:t>
      </w:r>
      <w:r w:rsidRPr="00696B5D">
        <w:rPr>
          <w:rFonts w:asciiTheme="minorHAnsi" w:hAnsiTheme="minorHAnsi" w:cstheme="minorHAnsi"/>
          <w:color w:val="000000"/>
          <w:sz w:val="22"/>
          <w:szCs w:val="22"/>
        </w:rPr>
        <w:t xml:space="preserve">Satınalma Siparişi bedelinin artması durumunda ve TTG’nin talep etmesi halinde </w:t>
      </w:r>
      <w:r w:rsidR="004A1EF7" w:rsidRPr="00696B5D">
        <w:rPr>
          <w:rFonts w:asciiTheme="minorHAnsi" w:hAnsiTheme="minorHAnsi" w:cstheme="minorHAnsi"/>
          <w:color w:val="000000"/>
          <w:sz w:val="22"/>
          <w:szCs w:val="22"/>
        </w:rPr>
        <w:t>bu maddede</w:t>
      </w:r>
      <w:r w:rsidRPr="00696B5D">
        <w:rPr>
          <w:rFonts w:asciiTheme="minorHAnsi" w:hAnsiTheme="minorHAnsi" w:cstheme="minorHAnsi"/>
          <w:color w:val="000000"/>
          <w:sz w:val="22"/>
          <w:szCs w:val="22"/>
        </w:rPr>
        <w:t xml:space="preserve"> yer alan hükümler çerçevesinde düzenlenecek bir kesin teminatı TTG’ye vermeyi,</w:t>
      </w:r>
    </w:p>
    <w:p w14:paraId="7BC0ACD5" w14:textId="6822AD01"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 xml:space="preserve">Teminat mektubuna </w:t>
      </w:r>
      <w:r w:rsidRPr="00696B5D">
        <w:rPr>
          <w:rFonts w:asciiTheme="minorHAnsi" w:hAnsiTheme="minorHAnsi" w:cstheme="minorHAnsi"/>
          <w:color w:val="000000"/>
          <w:sz w:val="22"/>
          <w:szCs w:val="22"/>
        </w:rPr>
        <w:tab/>
        <w:t>ilişkin her türlü vergi, masraf ve komisyon’un Yüklenici’ye ait olacağını,</w:t>
      </w:r>
    </w:p>
    <w:p w14:paraId="29B36C9A" w14:textId="00854149"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Teminat mektubunun süresinin Proje/İş ile ilgi</w:t>
      </w:r>
      <w:r w:rsidR="0038603D" w:rsidRPr="00696B5D">
        <w:rPr>
          <w:rFonts w:asciiTheme="minorHAnsi" w:hAnsiTheme="minorHAnsi" w:cstheme="minorHAnsi"/>
          <w:color w:val="000000"/>
          <w:sz w:val="22"/>
          <w:szCs w:val="22"/>
        </w:rPr>
        <w:t xml:space="preserve">li Yüklenici yükümlülüklerinin </w:t>
      </w:r>
      <w:r w:rsidRPr="00696B5D">
        <w:rPr>
          <w:rFonts w:asciiTheme="minorHAnsi" w:hAnsiTheme="minorHAnsi" w:cstheme="minorHAnsi"/>
          <w:color w:val="000000"/>
          <w:sz w:val="22"/>
          <w:szCs w:val="22"/>
        </w:rPr>
        <w:t>tamamlanmasından önce sona ermesi durumunda süresi en</w:t>
      </w:r>
      <w:r w:rsidR="0038603D" w:rsidRPr="00696B5D">
        <w:rPr>
          <w:rFonts w:asciiTheme="minorHAnsi" w:hAnsiTheme="minorHAnsi" w:cstheme="minorHAnsi"/>
          <w:color w:val="000000"/>
          <w:sz w:val="22"/>
          <w:szCs w:val="22"/>
        </w:rPr>
        <w:t xml:space="preserve"> az, Sözleşme süresinden 1 yıl </w:t>
      </w:r>
      <w:r w:rsidRPr="00696B5D">
        <w:rPr>
          <w:rFonts w:asciiTheme="minorHAnsi" w:hAnsiTheme="minorHAnsi" w:cstheme="minorHAnsi"/>
          <w:color w:val="000000"/>
          <w:sz w:val="22"/>
          <w:szCs w:val="22"/>
        </w:rPr>
        <w:t>fazla olacak şekilde ve tutarı TTG tarafından belirlenecek</w:t>
      </w:r>
      <w:r w:rsidR="0038603D" w:rsidRPr="00696B5D">
        <w:rPr>
          <w:rFonts w:asciiTheme="minorHAnsi" w:hAnsiTheme="minorHAnsi" w:cstheme="minorHAnsi"/>
          <w:color w:val="000000"/>
          <w:sz w:val="22"/>
          <w:szCs w:val="22"/>
        </w:rPr>
        <w:t xml:space="preserve"> işbu madde hükmü çerçevesinde </w:t>
      </w:r>
      <w:r w:rsidRPr="00696B5D">
        <w:rPr>
          <w:rFonts w:asciiTheme="minorHAnsi" w:hAnsiTheme="minorHAnsi" w:cstheme="minorHAnsi"/>
          <w:color w:val="000000"/>
          <w:sz w:val="22"/>
          <w:szCs w:val="22"/>
        </w:rPr>
        <w:t>düzenlenecek yeni bir teminat mektubunu, mevcut tem</w:t>
      </w:r>
      <w:r w:rsidR="0038603D" w:rsidRPr="00696B5D">
        <w:rPr>
          <w:rFonts w:asciiTheme="minorHAnsi" w:hAnsiTheme="minorHAnsi" w:cstheme="minorHAnsi"/>
          <w:color w:val="000000"/>
          <w:sz w:val="22"/>
          <w:szCs w:val="22"/>
        </w:rPr>
        <w:t xml:space="preserve">inat mektubunun süresinin sona </w:t>
      </w:r>
      <w:r w:rsidRPr="00696B5D">
        <w:rPr>
          <w:rFonts w:asciiTheme="minorHAnsi" w:hAnsiTheme="minorHAnsi" w:cstheme="minorHAnsi"/>
          <w:color w:val="000000"/>
          <w:sz w:val="22"/>
          <w:szCs w:val="22"/>
        </w:rPr>
        <w:t>erme tarihinden en az 10 (on) gün öncesinde temin ederek TTG’ye teslim etmeyi;</w:t>
      </w:r>
    </w:p>
    <w:p w14:paraId="64EF7AE0" w14:textId="32F71ECF" w:rsidR="00E15493"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TTG’nin Sözleşme kapsamında Yüklenici Personeline öde</w:t>
      </w:r>
      <w:r w:rsidR="0038603D" w:rsidRPr="00696B5D">
        <w:rPr>
          <w:rFonts w:asciiTheme="minorHAnsi" w:hAnsiTheme="minorHAnsi" w:cstheme="minorHAnsi"/>
          <w:color w:val="000000"/>
          <w:sz w:val="22"/>
          <w:szCs w:val="22"/>
        </w:rPr>
        <w:t xml:space="preserve">mek zorunda kaldığı tutarları, </w:t>
      </w:r>
      <w:r w:rsidRPr="00696B5D">
        <w:rPr>
          <w:rFonts w:asciiTheme="minorHAnsi" w:hAnsiTheme="minorHAnsi" w:cstheme="minorHAnsi"/>
          <w:color w:val="000000"/>
          <w:sz w:val="22"/>
          <w:szCs w:val="22"/>
        </w:rPr>
        <w:t>Yüklenici’nin sebep olduğu zararları</w:t>
      </w:r>
      <w:r w:rsidR="00E20039" w:rsidRPr="00696B5D">
        <w:rPr>
          <w:rFonts w:asciiTheme="minorHAnsi" w:hAnsiTheme="minorHAnsi" w:cstheme="minorHAnsi"/>
          <w:color w:val="000000"/>
          <w:sz w:val="22"/>
          <w:szCs w:val="22"/>
        </w:rPr>
        <w:t xml:space="preserve">, </w:t>
      </w:r>
      <w:r w:rsidR="00E20039" w:rsidRPr="00696B5D">
        <w:rPr>
          <w:rFonts w:asciiTheme="minorHAnsi" w:hAnsiTheme="minorHAnsi" w:cstheme="minorHAnsi"/>
          <w:sz w:val="22"/>
          <w:szCs w:val="22"/>
        </w:rPr>
        <w:t>cezai şart tutarlarını</w:t>
      </w:r>
      <w:r w:rsidRPr="00696B5D">
        <w:rPr>
          <w:rFonts w:asciiTheme="minorHAnsi" w:hAnsiTheme="minorHAnsi" w:cstheme="minorHAnsi"/>
          <w:color w:val="000000"/>
          <w:sz w:val="22"/>
          <w:szCs w:val="22"/>
        </w:rPr>
        <w:t xml:space="preserve"> ve/veya Yüklenici’den olan alacaklarını kesin teminat mektubundan tahsil edebileceğini ve/veya takas-mahs</w:t>
      </w:r>
      <w:r w:rsidR="00000570" w:rsidRPr="00696B5D">
        <w:rPr>
          <w:rFonts w:asciiTheme="minorHAnsi" w:hAnsiTheme="minorHAnsi" w:cstheme="minorHAnsi"/>
          <w:color w:val="000000"/>
          <w:sz w:val="22"/>
          <w:szCs w:val="22"/>
        </w:rPr>
        <w:t xml:space="preserve">up hakkı saklı kalmak kaydıyla </w:t>
      </w:r>
      <w:r w:rsidRPr="00696B5D">
        <w:rPr>
          <w:rFonts w:asciiTheme="minorHAnsi" w:hAnsiTheme="minorHAnsi" w:cstheme="minorHAnsi"/>
          <w:color w:val="000000"/>
          <w:sz w:val="22"/>
          <w:szCs w:val="22"/>
        </w:rPr>
        <w:t>Yüklenici’nin TTG ve/veya bunların doğrudan veya dolaylı olarak or</w:t>
      </w:r>
      <w:r w:rsidR="00000570" w:rsidRPr="00696B5D">
        <w:rPr>
          <w:rFonts w:asciiTheme="minorHAnsi" w:hAnsiTheme="minorHAnsi" w:cstheme="minorHAnsi"/>
          <w:color w:val="000000"/>
          <w:sz w:val="22"/>
          <w:szCs w:val="22"/>
        </w:rPr>
        <w:t>taklığının ve/veya</w:t>
      </w:r>
      <w:r w:rsidR="00000570" w:rsidRPr="00696B5D">
        <w:rPr>
          <w:rFonts w:asciiTheme="minorHAnsi" w:hAnsiTheme="minorHAnsi" w:cstheme="minorHAnsi"/>
          <w:color w:val="000000"/>
          <w:sz w:val="22"/>
          <w:szCs w:val="22"/>
        </w:rPr>
        <w:tab/>
        <w:t xml:space="preserve">kontrolünün </w:t>
      </w:r>
      <w:r w:rsidRPr="00696B5D">
        <w:rPr>
          <w:rFonts w:asciiTheme="minorHAnsi" w:hAnsiTheme="minorHAnsi" w:cstheme="minorHAnsi"/>
          <w:color w:val="000000"/>
          <w:sz w:val="22"/>
          <w:szCs w:val="22"/>
        </w:rPr>
        <w:t>bulunduğu şirketlerden olan alacağından Yüklenici’y</w:t>
      </w:r>
      <w:r w:rsidR="00000570" w:rsidRPr="00696B5D">
        <w:rPr>
          <w:rFonts w:asciiTheme="minorHAnsi" w:hAnsiTheme="minorHAnsi" w:cstheme="minorHAnsi"/>
          <w:color w:val="000000"/>
          <w:sz w:val="22"/>
          <w:szCs w:val="22"/>
        </w:rPr>
        <w:t xml:space="preserve">e ve ilgili şirkete yazılı bir </w:t>
      </w:r>
      <w:r w:rsidRPr="00696B5D">
        <w:rPr>
          <w:rFonts w:asciiTheme="minorHAnsi" w:hAnsiTheme="minorHAnsi" w:cstheme="minorHAnsi"/>
          <w:color w:val="000000"/>
          <w:sz w:val="22"/>
          <w:szCs w:val="22"/>
        </w:rPr>
        <w:t>bildirimde bulunarak tahsil edebileceğini, ilgili şirket</w:t>
      </w:r>
      <w:r w:rsidR="00000570" w:rsidRPr="00696B5D">
        <w:rPr>
          <w:rFonts w:asciiTheme="minorHAnsi" w:hAnsiTheme="minorHAnsi" w:cstheme="minorHAnsi"/>
          <w:color w:val="000000"/>
          <w:sz w:val="22"/>
          <w:szCs w:val="22"/>
        </w:rPr>
        <w:t xml:space="preserve">in bu kapsamda TTG’ye yapacağı </w:t>
      </w:r>
      <w:r w:rsidRPr="00696B5D">
        <w:rPr>
          <w:rFonts w:asciiTheme="minorHAnsi" w:hAnsiTheme="minorHAnsi" w:cstheme="minorHAnsi"/>
          <w:color w:val="000000"/>
          <w:sz w:val="22"/>
          <w:szCs w:val="22"/>
        </w:rPr>
        <w:t xml:space="preserve">ödemenin Yüklenici’ye yapılmış gibi kabul edileceğini (“Mahsup Yöntemi”),  TTG’nin kesin </w:t>
      </w:r>
      <w:r w:rsidRPr="00696B5D">
        <w:rPr>
          <w:rFonts w:asciiTheme="minorHAnsi" w:hAnsiTheme="minorHAnsi" w:cstheme="minorHAnsi"/>
          <w:color w:val="000000"/>
          <w:sz w:val="22"/>
          <w:szCs w:val="22"/>
        </w:rPr>
        <w:tab/>
        <w:t>teminat mektubu tutarını aşan bir zararı da dahil işbu Sözleşme kapsamındaki herh</w:t>
      </w:r>
      <w:r w:rsidR="00000570" w:rsidRPr="00696B5D">
        <w:rPr>
          <w:rFonts w:asciiTheme="minorHAnsi" w:hAnsiTheme="minorHAnsi" w:cstheme="minorHAnsi"/>
          <w:color w:val="000000"/>
          <w:sz w:val="22"/>
          <w:szCs w:val="22"/>
        </w:rPr>
        <w:t xml:space="preserve">angi bir </w:t>
      </w:r>
      <w:r w:rsidRPr="00696B5D">
        <w:rPr>
          <w:rFonts w:asciiTheme="minorHAnsi" w:hAnsiTheme="minorHAnsi" w:cstheme="minorHAnsi"/>
          <w:color w:val="000000"/>
          <w:sz w:val="22"/>
          <w:szCs w:val="22"/>
        </w:rPr>
        <w:t xml:space="preserve">zararının ve/veya alacağının doğması halinde, TTG’nin, </w:t>
      </w:r>
      <w:r w:rsidRPr="00696B5D">
        <w:rPr>
          <w:rFonts w:asciiTheme="minorHAnsi" w:hAnsiTheme="minorHAnsi" w:cstheme="minorHAnsi"/>
          <w:sz w:val="22"/>
          <w:szCs w:val="22"/>
        </w:rPr>
        <w:t>Uygulanacak Yasalar</w:t>
      </w:r>
      <w:r w:rsidR="00000570" w:rsidRPr="00696B5D">
        <w:rPr>
          <w:rFonts w:asciiTheme="minorHAnsi" w:hAnsiTheme="minorHAnsi" w:cstheme="minorHAnsi"/>
          <w:color w:val="000000"/>
          <w:sz w:val="22"/>
          <w:szCs w:val="22"/>
        </w:rPr>
        <w:t xml:space="preserve"> ve Sözleşme’den </w:t>
      </w:r>
      <w:r w:rsidRPr="00696B5D">
        <w:rPr>
          <w:rFonts w:asciiTheme="minorHAnsi" w:hAnsiTheme="minorHAnsi" w:cstheme="minorHAnsi"/>
          <w:color w:val="000000"/>
          <w:sz w:val="22"/>
          <w:szCs w:val="22"/>
        </w:rPr>
        <w:t>kaynaklanan hakları saklı kalması kaydıyla, söz konusu zara</w:t>
      </w:r>
      <w:r w:rsidR="00000570" w:rsidRPr="00696B5D">
        <w:rPr>
          <w:rFonts w:asciiTheme="minorHAnsi" w:hAnsiTheme="minorHAnsi" w:cstheme="minorHAnsi"/>
          <w:color w:val="000000"/>
          <w:sz w:val="22"/>
          <w:szCs w:val="22"/>
        </w:rPr>
        <w:t xml:space="preserve">rları ve/veya alacağını Mahsup </w:t>
      </w:r>
      <w:r w:rsidRPr="00696B5D">
        <w:rPr>
          <w:rFonts w:asciiTheme="minorHAnsi" w:hAnsiTheme="minorHAnsi" w:cstheme="minorHAnsi"/>
          <w:color w:val="000000"/>
          <w:sz w:val="22"/>
          <w:szCs w:val="22"/>
        </w:rPr>
        <w:t>Yöntemi ile tahsil edebileceğini,</w:t>
      </w:r>
    </w:p>
    <w:p w14:paraId="4A5861D7" w14:textId="7F12A209" w:rsidR="00D633EB" w:rsidRPr="008D4C1D" w:rsidRDefault="00D633EB" w:rsidP="00D633EB">
      <w:pPr>
        <w:pStyle w:val="ListParagraph"/>
        <w:numPr>
          <w:ilvl w:val="2"/>
          <w:numId w:val="3"/>
        </w:numPr>
        <w:tabs>
          <w:tab w:val="left" w:pos="1134"/>
        </w:tabs>
        <w:spacing w:afterLines="160" w:after="384" w:line="276" w:lineRule="auto"/>
        <w:jc w:val="both"/>
        <w:rPr>
          <w:rFonts w:asciiTheme="minorHAnsi" w:hAnsiTheme="minorHAnsi"/>
          <w:color w:val="000000"/>
          <w:sz w:val="22"/>
          <w:szCs w:val="22"/>
          <w:lang w:val="en-US"/>
        </w:rPr>
      </w:pPr>
      <w:r>
        <w:rPr>
          <w:rFonts w:asciiTheme="minorHAnsi" w:hAnsiTheme="minorHAnsi" w:cstheme="minorBidi"/>
          <w:color w:val="000000"/>
          <w:sz w:val="22"/>
          <w:szCs w:val="22"/>
          <w:lang w:val="en-US"/>
        </w:rPr>
        <w:t>9.1.1.maddesinde düzenlenen teminat mektubuna ek olarak, işbu S</w:t>
      </w:r>
      <w:r w:rsidRPr="00194219">
        <w:rPr>
          <w:rFonts w:asciiTheme="minorHAnsi" w:hAnsiTheme="minorHAnsi" w:cstheme="minorBidi"/>
          <w:color w:val="000000"/>
          <w:sz w:val="22"/>
          <w:szCs w:val="22"/>
          <w:lang w:val="en-US"/>
        </w:rPr>
        <w:t>özleşme kapsamında çalıştırdığı işçilerin 4857 Sayılı İş Kanunu’nun alt işverenlik uygulam</w:t>
      </w:r>
      <w:r>
        <w:rPr>
          <w:rFonts w:asciiTheme="minorHAnsi" w:hAnsiTheme="minorHAnsi" w:cstheme="minorBidi"/>
          <w:color w:val="000000"/>
          <w:sz w:val="22"/>
          <w:szCs w:val="22"/>
          <w:lang w:val="en-US"/>
        </w:rPr>
        <w:t>asını düzenleyen  2. maddesinin</w:t>
      </w:r>
      <w:r w:rsidRPr="00194219">
        <w:rPr>
          <w:rFonts w:asciiTheme="minorHAnsi" w:hAnsiTheme="minorHAnsi" w:cstheme="minorBidi"/>
          <w:color w:val="000000"/>
          <w:sz w:val="22"/>
          <w:szCs w:val="22"/>
          <w:lang w:val="en-US"/>
        </w:rPr>
        <w:t xml:space="preserve"> 6. fıkrası kapsamında </w:t>
      </w:r>
      <w:r>
        <w:rPr>
          <w:rFonts w:asciiTheme="minorHAnsi" w:hAnsiTheme="minorHAnsi" w:cstheme="minorBidi"/>
          <w:color w:val="000000"/>
          <w:sz w:val="22"/>
          <w:szCs w:val="22"/>
          <w:lang w:val="en-US"/>
        </w:rPr>
        <w:t>TTG’den</w:t>
      </w:r>
      <w:r w:rsidRPr="00194219">
        <w:rPr>
          <w:rFonts w:asciiTheme="minorHAnsi" w:hAnsiTheme="minorHAnsi" w:cstheme="minorBidi"/>
          <w:color w:val="000000"/>
          <w:sz w:val="22"/>
          <w:szCs w:val="22"/>
          <w:lang w:val="en-US"/>
        </w:rPr>
        <w:t xml:space="preserve"> doğrudan talep edebilecekleri İş Mevzuatından kaynaklı kıdem, ihbar, fazla mesai, yıllık ücretli izin alacağı vs. alacakları ile ilgili olarak </w:t>
      </w:r>
      <w:r>
        <w:rPr>
          <w:rFonts w:asciiTheme="minorHAnsi" w:hAnsiTheme="minorHAnsi" w:cstheme="minorBidi"/>
          <w:color w:val="000000"/>
          <w:sz w:val="22"/>
          <w:szCs w:val="22"/>
          <w:lang w:val="en-US"/>
        </w:rPr>
        <w:t xml:space="preserve">……………….. TL (………………………Türk Lirası) tutarında süresiz, kesin, banka teminat mektubunu </w:t>
      </w:r>
      <w:r w:rsidRPr="001323C4">
        <w:rPr>
          <w:rFonts w:asciiTheme="minorHAnsi" w:hAnsiTheme="minorHAnsi" w:cstheme="minorBidi"/>
          <w:color w:val="000000"/>
          <w:sz w:val="22"/>
          <w:szCs w:val="22"/>
          <w:lang w:val="en-US"/>
        </w:rPr>
        <w:t>Sözleşmenin imzası öncesinde veya imza tarihten itibaren 7 (yedi) gün içinde TTG’ye teslim edeceğini,</w:t>
      </w:r>
      <w:r w:rsidRPr="008D4C1D">
        <w:rPr>
          <w:rFonts w:asciiTheme="minorHAnsi" w:hAnsiTheme="minorHAnsi" w:cstheme="minorBidi"/>
          <w:color w:val="000000"/>
          <w:sz w:val="22"/>
          <w:szCs w:val="22"/>
          <w:lang w:val="en-US"/>
        </w:rPr>
        <w:t xml:space="preserve"> </w:t>
      </w:r>
    </w:p>
    <w:p w14:paraId="3BAE4235" w14:textId="0C3A5EE0" w:rsidR="00D633EB" w:rsidRPr="008D4C1D" w:rsidRDefault="00D633EB" w:rsidP="00D633EB">
      <w:pPr>
        <w:pStyle w:val="ListParagraph"/>
        <w:numPr>
          <w:ilvl w:val="2"/>
          <w:numId w:val="3"/>
        </w:numPr>
        <w:tabs>
          <w:tab w:val="left" w:pos="1134"/>
        </w:tabs>
        <w:spacing w:afterLines="160" w:after="384" w:line="276" w:lineRule="auto"/>
        <w:jc w:val="both"/>
        <w:rPr>
          <w:rFonts w:asciiTheme="minorHAnsi" w:hAnsiTheme="minorHAnsi"/>
          <w:color w:val="000000"/>
          <w:sz w:val="22"/>
          <w:szCs w:val="22"/>
          <w:lang w:val="en-US"/>
        </w:rPr>
      </w:pPr>
      <w:r>
        <w:rPr>
          <w:rFonts w:asciiTheme="minorHAnsi" w:hAnsiTheme="minorHAnsi" w:cstheme="minorBidi"/>
          <w:color w:val="000000"/>
          <w:sz w:val="22"/>
          <w:szCs w:val="22"/>
          <w:lang w:val="en-US"/>
        </w:rPr>
        <w:t>Çalıştırdığı işçilerin herhangi bir işçilik alacağı (kıdem, ihbar, fazla mesai, yıllık ücretli izin alcağı vb.) ile ilgili TTG’den talep edebilecek alacakların da 9.1.9.maddede belirtilen teminatın garantisi altında olduğunu, söz konusu teminat mektubunun teslim edilmemesi halinde, Sözleşme’nin yürürlüğe girmemiş ve varsa ilgili siparişin feshedilmiş sayılacağını,</w:t>
      </w:r>
    </w:p>
    <w:p w14:paraId="272EC193" w14:textId="77777777" w:rsidR="00D633EB" w:rsidRPr="001323C4" w:rsidRDefault="00D633EB" w:rsidP="00D633EB">
      <w:pPr>
        <w:pStyle w:val="ListParagraph"/>
        <w:numPr>
          <w:ilvl w:val="2"/>
          <w:numId w:val="3"/>
        </w:numPr>
        <w:tabs>
          <w:tab w:val="left" w:pos="1134"/>
        </w:tabs>
        <w:spacing w:afterLines="160" w:after="384" w:line="276" w:lineRule="auto"/>
        <w:jc w:val="both"/>
        <w:rPr>
          <w:rFonts w:asciiTheme="minorHAnsi" w:hAnsiTheme="minorHAnsi"/>
          <w:color w:val="000000"/>
          <w:sz w:val="22"/>
          <w:szCs w:val="22"/>
          <w:lang w:val="en-US"/>
        </w:rPr>
      </w:pPr>
      <w:r w:rsidRPr="001323C4">
        <w:rPr>
          <w:rFonts w:asciiTheme="minorHAnsi" w:hAnsiTheme="minorHAnsi" w:cstheme="minorBidi"/>
          <w:color w:val="000000"/>
          <w:sz w:val="22"/>
          <w:szCs w:val="22"/>
          <w:lang w:val="en-US"/>
        </w:rPr>
        <w:t>Teminat olarak kabul edilebilecek değerlerin; tedavüldeki Türk parası, konvertibl yabancı ülke parası, devlet tahvilleri, hazine bonoları ile Bankacılık Düzenleme ve Denetleme Kurumunca teminat mektubu düzenleme yetkisi verilen banka ve finans kurumlarınca düzenlenmiş teminat mektupları olacağını,</w:t>
      </w:r>
    </w:p>
    <w:p w14:paraId="47C4E178" w14:textId="77777777" w:rsidR="00D633EB" w:rsidRPr="008D4C1D" w:rsidRDefault="00D633EB" w:rsidP="00D633EB">
      <w:pPr>
        <w:pStyle w:val="ListParagraph"/>
        <w:numPr>
          <w:ilvl w:val="2"/>
          <w:numId w:val="3"/>
        </w:numPr>
        <w:tabs>
          <w:tab w:val="left" w:pos="1134"/>
        </w:tabs>
        <w:spacing w:afterLines="160" w:after="384" w:line="276" w:lineRule="auto"/>
        <w:jc w:val="both"/>
        <w:rPr>
          <w:rFonts w:asciiTheme="minorHAnsi" w:hAnsiTheme="minorHAnsi"/>
          <w:color w:val="000000"/>
          <w:sz w:val="22"/>
          <w:szCs w:val="22"/>
          <w:lang w:val="en-US"/>
        </w:rPr>
      </w:pPr>
      <w:r w:rsidRPr="001323C4">
        <w:rPr>
          <w:rFonts w:asciiTheme="minorHAnsi" w:hAnsiTheme="minorHAnsi" w:cstheme="minorBidi"/>
          <w:color w:val="000000"/>
          <w:sz w:val="22"/>
          <w:szCs w:val="22"/>
          <w:lang w:val="en-US"/>
        </w:rPr>
        <w:lastRenderedPageBreak/>
        <w:t>Teminat mektubunun, T.C. Başbakanlık Hazine Müsteşarlığınca teminat vermeye yetkili kılınan Türkiye’deki muteber bankalardan biri tarafından verileceğini, teminat mektubuna ilişkin her türlü vergi, masraf ve komisyon’un Yüklenici’ye ait olacağını,</w:t>
      </w:r>
    </w:p>
    <w:p w14:paraId="670A93DB" w14:textId="77777777" w:rsidR="00D633EB" w:rsidRDefault="00D633EB" w:rsidP="00D633EB">
      <w:pPr>
        <w:tabs>
          <w:tab w:val="left" w:pos="8647"/>
          <w:tab w:val="left" w:pos="9639"/>
        </w:tabs>
        <w:jc w:val="both"/>
        <w:rPr>
          <w:rFonts w:eastAsia="Times New Roman"/>
          <w:color w:val="000000"/>
          <w:lang w:val="en-US" w:eastAsia="tr-TR"/>
        </w:rPr>
      </w:pPr>
      <w:r w:rsidRPr="001323C4">
        <w:rPr>
          <w:rFonts w:eastAsia="Times New Roman"/>
          <w:color w:val="000000"/>
          <w:lang w:val="en-US" w:eastAsia="tr-TR"/>
        </w:rPr>
        <w:t xml:space="preserve">                      kabul, beyan ve taahhüt eder.</w:t>
      </w:r>
    </w:p>
    <w:p w14:paraId="12E3360E" w14:textId="38A44937" w:rsidR="00D633EB" w:rsidRDefault="00D633EB" w:rsidP="00D633EB">
      <w:pPr>
        <w:tabs>
          <w:tab w:val="left" w:pos="142"/>
          <w:tab w:val="left" w:pos="426"/>
          <w:tab w:val="left" w:pos="567"/>
        </w:tabs>
        <w:spacing w:before="240" w:after="240" w:line="276" w:lineRule="auto"/>
        <w:contextualSpacing/>
        <w:jc w:val="both"/>
        <w:rPr>
          <w:rFonts w:cstheme="minorHAnsi"/>
          <w:color w:val="000000"/>
        </w:rPr>
      </w:pPr>
      <w:r w:rsidRPr="00D633EB">
        <w:rPr>
          <w:rFonts w:cstheme="minorHAnsi"/>
          <w:color w:val="000000"/>
        </w:rPr>
        <w:t xml:space="preserve">İşbu Sözleşme kapsamında çalıştırılan Yüklenici Personeli’nin SGK ve Türk İş Hukuku başta olmak üzere </w:t>
      </w:r>
      <w:r w:rsidRPr="00D633EB">
        <w:rPr>
          <w:rFonts w:cstheme="minorHAnsi"/>
        </w:rPr>
        <w:t>Uygulanacak Yasalar</w:t>
      </w:r>
      <w:r w:rsidRPr="00D633EB">
        <w:rPr>
          <w:rFonts w:cstheme="minorHAnsi"/>
          <w:color w:val="000000"/>
        </w:rPr>
        <w:t xml:space="preserve"> kapsamındaki taleplerinden dolayı tüm sorumluluk Yüklenici’ye ait olacaktır. Söz konusu Personel’in, işbu kapsamdaki talepleri için dava ve/veya İşe İade Davasını TTG’ye yöneltmesi durumunda,  Yüklenici, TTG’yi tüm sorumluklardan beri kılacaktır.</w:t>
      </w:r>
    </w:p>
    <w:p w14:paraId="119988AB" w14:textId="77777777" w:rsidR="00D633EB" w:rsidRPr="00D633EB" w:rsidRDefault="00D633EB" w:rsidP="00D633EB">
      <w:pPr>
        <w:tabs>
          <w:tab w:val="left" w:pos="142"/>
          <w:tab w:val="left" w:pos="426"/>
          <w:tab w:val="left" w:pos="567"/>
        </w:tabs>
        <w:spacing w:before="240" w:after="240" w:line="276" w:lineRule="auto"/>
        <w:contextualSpacing/>
        <w:jc w:val="both"/>
        <w:rPr>
          <w:rFonts w:cstheme="minorHAnsi"/>
          <w:color w:val="000000"/>
        </w:rPr>
      </w:pPr>
    </w:p>
    <w:p w14:paraId="1BD71B8B" w14:textId="52BC4C68" w:rsidR="00D633EB" w:rsidRPr="00194219" w:rsidRDefault="00D633EB" w:rsidP="00D633EB">
      <w:pPr>
        <w:tabs>
          <w:tab w:val="left" w:pos="8647"/>
          <w:tab w:val="left" w:pos="9639"/>
        </w:tabs>
        <w:jc w:val="both"/>
        <w:rPr>
          <w:rFonts w:eastAsia="Times New Roman"/>
          <w:color w:val="000000"/>
          <w:lang w:val="en-US" w:eastAsia="tr-TR"/>
        </w:rPr>
      </w:pPr>
      <w:r>
        <w:rPr>
          <w:rFonts w:eastAsia="Times New Roman"/>
          <w:color w:val="000000"/>
          <w:lang w:val="en-US" w:eastAsia="tr-TR"/>
        </w:rPr>
        <w:t>Ancak yukarıda yazılı yükümlülüğün yerine getirilmemesi halinde TTG, bu S</w:t>
      </w:r>
      <w:r w:rsidRPr="00194219">
        <w:rPr>
          <w:rFonts w:eastAsia="Times New Roman"/>
          <w:color w:val="000000"/>
          <w:lang w:val="en-US" w:eastAsia="tr-TR"/>
        </w:rPr>
        <w:t xml:space="preserve">özleşme kapsamında </w:t>
      </w:r>
      <w:r>
        <w:rPr>
          <w:rFonts w:eastAsia="Times New Roman"/>
          <w:color w:val="000000"/>
          <w:lang w:val="en-US" w:eastAsia="tr-TR"/>
        </w:rPr>
        <w:t>Yüklenici</w:t>
      </w:r>
      <w:r w:rsidRPr="00194219">
        <w:rPr>
          <w:rFonts w:eastAsia="Times New Roman"/>
          <w:color w:val="000000"/>
          <w:lang w:val="en-US" w:eastAsia="tr-TR"/>
        </w:rPr>
        <w:t xml:space="preserve"> elemanlarına ödemek zorunda kaldığı/kalacağı İş Mevzuatından kaynaklı kıdem, ihbar, fazla mesai, yıllık ücretli izin alacağı bedeli ve sair giderleri Yüklenici</w:t>
      </w:r>
      <w:r>
        <w:rPr>
          <w:rFonts w:eastAsia="Times New Roman"/>
          <w:color w:val="000000"/>
          <w:lang w:val="en-US" w:eastAsia="tr-TR"/>
        </w:rPr>
        <w:t>’</w:t>
      </w:r>
      <w:r w:rsidRPr="00194219">
        <w:rPr>
          <w:rFonts w:eastAsia="Times New Roman"/>
          <w:color w:val="000000"/>
          <w:lang w:val="en-US" w:eastAsia="tr-TR"/>
        </w:rPr>
        <w:t xml:space="preserve">den yazılı olarak talep edecektir. Bu bedelin 3 </w:t>
      </w:r>
      <w:r>
        <w:rPr>
          <w:rFonts w:eastAsia="Times New Roman"/>
          <w:color w:val="000000"/>
          <w:lang w:val="en-US" w:eastAsia="tr-TR"/>
        </w:rPr>
        <w:t xml:space="preserve">(üç) </w:t>
      </w:r>
      <w:r w:rsidRPr="00194219">
        <w:rPr>
          <w:rFonts w:eastAsia="Times New Roman"/>
          <w:color w:val="000000"/>
          <w:lang w:val="en-US" w:eastAsia="tr-TR"/>
        </w:rPr>
        <w:t xml:space="preserve">işgünü içerisinde </w:t>
      </w:r>
      <w:r>
        <w:rPr>
          <w:rFonts w:eastAsia="Times New Roman"/>
          <w:color w:val="000000"/>
          <w:lang w:val="en-US" w:eastAsia="tr-TR"/>
        </w:rPr>
        <w:t>TTG’ye</w:t>
      </w:r>
      <w:r w:rsidRPr="00194219">
        <w:rPr>
          <w:rFonts w:eastAsia="Times New Roman"/>
          <w:color w:val="000000"/>
          <w:lang w:val="en-US" w:eastAsia="tr-TR"/>
        </w:rPr>
        <w:t xml:space="preserve"> ödenmemesi halinde </w:t>
      </w:r>
      <w:r>
        <w:rPr>
          <w:rFonts w:eastAsia="Times New Roman"/>
          <w:color w:val="000000"/>
          <w:lang w:val="en-US" w:eastAsia="tr-TR"/>
        </w:rPr>
        <w:t>TTG</w:t>
      </w:r>
      <w:r w:rsidRPr="00194219">
        <w:rPr>
          <w:rFonts w:eastAsia="Times New Roman"/>
          <w:color w:val="000000"/>
          <w:lang w:val="en-US" w:eastAsia="tr-TR"/>
        </w:rPr>
        <w:t xml:space="preserve"> işçilik alacaklarına ilişkin teminatı paraya çevirerek ya da firmanın hak edişinden kesmek suretiyle firmadan talep edilen bedeli ilgiliye ödemeye yetkilidir. </w:t>
      </w:r>
    </w:p>
    <w:p w14:paraId="65781152" w14:textId="77777777" w:rsidR="00D633EB" w:rsidRDefault="00D633EB" w:rsidP="00D633EB">
      <w:pPr>
        <w:tabs>
          <w:tab w:val="left" w:pos="993"/>
        </w:tabs>
        <w:spacing w:afterLines="160" w:after="384" w:line="276" w:lineRule="auto"/>
        <w:jc w:val="both"/>
        <w:rPr>
          <w:rFonts w:eastAsia="Times New Roman"/>
          <w:color w:val="000000"/>
          <w:lang w:val="en-US" w:eastAsia="tr-TR"/>
        </w:rPr>
      </w:pPr>
      <w:r w:rsidRPr="00194219">
        <w:rPr>
          <w:rFonts w:eastAsia="Times New Roman"/>
          <w:color w:val="000000"/>
          <w:lang w:val="en-US" w:eastAsia="tr-TR"/>
        </w:rPr>
        <w:t xml:space="preserve">Kıdem Tazminatı ve Diğer İşçilik Alacaklarına ilişkin olarak alınması gereken Teminat bedeli her yıl </w:t>
      </w:r>
      <w:r>
        <w:rPr>
          <w:rFonts w:eastAsia="Times New Roman"/>
          <w:color w:val="000000"/>
          <w:lang w:val="en-US" w:eastAsia="tr-TR"/>
        </w:rPr>
        <w:t>TTG</w:t>
      </w:r>
      <w:r w:rsidRPr="00194219">
        <w:rPr>
          <w:rFonts w:eastAsia="Times New Roman"/>
          <w:color w:val="000000"/>
          <w:lang w:val="en-US" w:eastAsia="tr-TR"/>
        </w:rPr>
        <w:t xml:space="preserve"> tarafından yeniden b</w:t>
      </w:r>
      <w:r>
        <w:rPr>
          <w:rFonts w:eastAsia="Times New Roman"/>
          <w:color w:val="000000"/>
          <w:lang w:val="en-US" w:eastAsia="tr-TR"/>
        </w:rPr>
        <w:t>elirlenecek olup, S</w:t>
      </w:r>
      <w:r w:rsidRPr="00194219">
        <w:rPr>
          <w:rFonts w:eastAsia="Times New Roman"/>
          <w:color w:val="000000"/>
          <w:lang w:val="en-US" w:eastAsia="tr-TR"/>
        </w:rPr>
        <w:t xml:space="preserve">özleşme süresince de </w:t>
      </w:r>
      <w:r>
        <w:rPr>
          <w:rFonts w:eastAsia="Times New Roman"/>
          <w:color w:val="000000"/>
          <w:lang w:val="en-US" w:eastAsia="tr-TR"/>
        </w:rPr>
        <w:t>TTG</w:t>
      </w:r>
      <w:r w:rsidRPr="00194219">
        <w:rPr>
          <w:rFonts w:eastAsia="Times New Roman"/>
          <w:color w:val="000000"/>
          <w:lang w:val="en-US" w:eastAsia="tr-TR"/>
        </w:rPr>
        <w:t xml:space="preserve"> ilave teminat talep etme hakkına sahiptir. İlave teminat talep edilmesi halinde, </w:t>
      </w:r>
      <w:r>
        <w:rPr>
          <w:rFonts w:eastAsia="Times New Roman"/>
          <w:color w:val="000000"/>
          <w:lang w:val="en-US" w:eastAsia="tr-TR"/>
        </w:rPr>
        <w:t>Yüklenici</w:t>
      </w:r>
      <w:r w:rsidRPr="00194219">
        <w:rPr>
          <w:rFonts w:eastAsia="Times New Roman"/>
          <w:color w:val="000000"/>
          <w:lang w:val="en-US" w:eastAsia="tr-TR"/>
        </w:rPr>
        <w:t xml:space="preserve"> bu talebi havi tebligatı izleyen en geç 5 (beş) işgünü içinde ilave süresiz ve kati teminat mektubunu </w:t>
      </w:r>
      <w:r>
        <w:rPr>
          <w:rFonts w:eastAsia="Times New Roman"/>
          <w:color w:val="000000"/>
          <w:lang w:val="en-US" w:eastAsia="tr-TR"/>
        </w:rPr>
        <w:t>TTG’ye</w:t>
      </w:r>
      <w:r w:rsidRPr="00194219">
        <w:rPr>
          <w:rFonts w:eastAsia="Times New Roman"/>
          <w:color w:val="000000"/>
          <w:lang w:val="en-US" w:eastAsia="tr-TR"/>
        </w:rPr>
        <w:t xml:space="preserve"> verecektir. Aksi takdirde, </w:t>
      </w:r>
      <w:r>
        <w:rPr>
          <w:rFonts w:eastAsia="Times New Roman"/>
          <w:color w:val="000000"/>
          <w:lang w:val="en-US" w:eastAsia="tr-TR"/>
        </w:rPr>
        <w:t>TTG</w:t>
      </w:r>
      <w:r w:rsidRPr="00194219">
        <w:rPr>
          <w:rFonts w:eastAsia="Times New Roman"/>
          <w:color w:val="000000"/>
          <w:lang w:val="en-US" w:eastAsia="tr-TR"/>
        </w:rPr>
        <w:t xml:space="preserve">, talepte bulunduğu teminat tutarı kadar </w:t>
      </w:r>
      <w:r>
        <w:rPr>
          <w:rFonts w:eastAsia="Times New Roman"/>
          <w:color w:val="000000"/>
          <w:lang w:val="en-US" w:eastAsia="tr-TR"/>
        </w:rPr>
        <w:t>Yüklenici’nin</w:t>
      </w:r>
      <w:r w:rsidRPr="00194219">
        <w:rPr>
          <w:rFonts w:eastAsia="Times New Roman"/>
          <w:color w:val="000000"/>
          <w:lang w:val="en-US" w:eastAsia="tr-TR"/>
        </w:rPr>
        <w:t xml:space="preserve"> hak edişlerine bloke koyma hakkına sahiptir.</w:t>
      </w:r>
    </w:p>
    <w:p w14:paraId="3FEFC39F" w14:textId="57515589" w:rsidR="00D633EB" w:rsidRPr="00DD0B9D" w:rsidRDefault="00D633EB" w:rsidP="00D633EB">
      <w:pPr>
        <w:tabs>
          <w:tab w:val="left" w:pos="993"/>
        </w:tabs>
        <w:spacing w:afterLines="160" w:after="384" w:line="276" w:lineRule="auto"/>
        <w:jc w:val="both"/>
        <w:rPr>
          <w:rFonts w:eastAsia="Times New Roman"/>
          <w:color w:val="000000"/>
          <w:lang w:val="en-US" w:eastAsia="tr-TR"/>
        </w:rPr>
      </w:pPr>
      <w:r>
        <w:rPr>
          <w:color w:val="000000"/>
          <w:lang w:val="en-US" w:eastAsia="tr-TR"/>
        </w:rPr>
        <w:t>İ</w:t>
      </w:r>
      <w:r w:rsidRPr="00DD0B9D">
        <w:rPr>
          <w:color w:val="000000"/>
          <w:lang w:val="en-US" w:eastAsia="tr-TR"/>
        </w:rPr>
        <w:t>şbu madde kapsamında alınan teminat mektubu, Yüklenici ile TTG arasında bugüne kadar imzalanan sözleşmeler kapsamında çalışan işçilerin tamamının TTG de çalıştığı dönemle ilgili olarak İş Mevzuatından kaynaklı kıdem, ihbar, fazla mesai, yıllık ücretli izin alacağı vs. gibi tüm işçilik haklarının ödendiğine ilişkin belgelerin sunulması ve TTG’nin bu sözleşme kapsamında çalışan işçilerin işçilik hakları ile ilgili olarak herhangi bir sorumluluğunun kalmadığının tespiti halinde iade edilecek olup iade konusunda karar vermeye münhasıran TTG yetkilidir.</w:t>
      </w:r>
    </w:p>
    <w:p w14:paraId="0B86DF2D" w14:textId="55CD25C1" w:rsidR="00E15493" w:rsidRPr="00696B5D" w:rsidRDefault="00E15493" w:rsidP="00696B5D">
      <w:pPr>
        <w:pStyle w:val="ListParagraph"/>
        <w:numPr>
          <w:ilvl w:val="1"/>
          <w:numId w:val="3"/>
        </w:numPr>
        <w:tabs>
          <w:tab w:val="left" w:pos="142"/>
          <w:tab w:val="left" w:pos="426"/>
          <w:tab w:val="left" w:pos="567"/>
        </w:tabs>
        <w:spacing w:before="240" w:after="240" w:line="276" w:lineRule="auto"/>
        <w:ind w:left="0" w:firstLine="0"/>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lang w:val="en-US"/>
        </w:rPr>
        <w:t>Proje’nin/İş’in, Sözleşme, Satınalma Siparişi ve ekli doküman hükümlerine uygun olarak yerine getirildiğinin, Yüklenici’nin Sözleşme/</w:t>
      </w:r>
      <w:r w:rsidR="00325470" w:rsidRPr="00696B5D" w:rsidDel="00325470">
        <w:rPr>
          <w:rFonts w:asciiTheme="minorHAnsi" w:hAnsiTheme="minorHAnsi" w:cstheme="minorHAnsi"/>
          <w:color w:val="000000"/>
          <w:sz w:val="22"/>
          <w:szCs w:val="22"/>
          <w:lang w:val="en-US"/>
        </w:rPr>
        <w:t xml:space="preserve"> </w:t>
      </w:r>
      <w:r w:rsidRPr="00696B5D">
        <w:rPr>
          <w:rFonts w:asciiTheme="minorHAnsi" w:hAnsiTheme="minorHAnsi" w:cstheme="minorHAnsi"/>
          <w:color w:val="000000"/>
          <w:sz w:val="22"/>
          <w:szCs w:val="22"/>
          <w:lang w:val="en-US"/>
        </w:rPr>
        <w:t>Satınalma Siparişi ve ekli doküman konusu işten dolayı TTG’ye herhangi bir borcunun ve yükümlülüğünün kalmadığının tespiti ve ilgili kurumlardan ilişiksizlik belgesinin teslimi ile Sözleşme’nin/ilgili Satınalma Siparişi’nin sona ermesini müteakip altmış (60) gün içerisinde kesin teminat mektubu Yüklenici’ye iade edilecektir.</w:t>
      </w:r>
    </w:p>
    <w:p w14:paraId="502C83A9" w14:textId="77777777" w:rsidR="00E15493" w:rsidRPr="00696B5D" w:rsidRDefault="00E15493" w:rsidP="00696B5D">
      <w:pPr>
        <w:pStyle w:val="ListParagraph"/>
        <w:spacing w:before="240" w:after="240" w:line="276" w:lineRule="auto"/>
        <w:ind w:left="792"/>
        <w:jc w:val="both"/>
        <w:rPr>
          <w:rFonts w:asciiTheme="minorHAnsi" w:eastAsia="Calibri" w:hAnsiTheme="minorHAnsi" w:cstheme="minorHAnsi"/>
          <w:sz w:val="22"/>
          <w:szCs w:val="22"/>
          <w:lang w:val="en-US"/>
        </w:rPr>
      </w:pPr>
    </w:p>
    <w:p w14:paraId="56C3BAB7" w14:textId="77777777" w:rsidR="00E15493" w:rsidRPr="00696B5D" w:rsidRDefault="00E15493" w:rsidP="00696B5D">
      <w:pPr>
        <w:pStyle w:val="ListParagraph"/>
        <w:numPr>
          <w:ilvl w:val="0"/>
          <w:numId w:val="3"/>
        </w:numPr>
        <w:tabs>
          <w:tab w:val="left" w:pos="709"/>
          <w:tab w:val="left" w:pos="851"/>
        </w:tabs>
        <w:spacing w:before="240" w:after="240" w:line="276" w:lineRule="auto"/>
        <w:contextualSpacing/>
        <w:jc w:val="both"/>
        <w:rPr>
          <w:rFonts w:asciiTheme="minorHAnsi" w:hAnsiTheme="minorHAnsi" w:cstheme="minorHAnsi"/>
          <w:bCs/>
          <w:sz w:val="22"/>
          <w:szCs w:val="22"/>
        </w:rPr>
      </w:pPr>
      <w:r w:rsidRPr="00696B5D">
        <w:rPr>
          <w:rFonts w:asciiTheme="minorHAnsi" w:eastAsia="Calibri" w:hAnsiTheme="minorHAnsi" w:cstheme="minorHAnsi"/>
          <w:b/>
          <w:sz w:val="22"/>
          <w:szCs w:val="22"/>
          <w:lang w:val="en-US"/>
        </w:rPr>
        <w:t xml:space="preserve">  CEZAİ HÜKÜMLER</w:t>
      </w:r>
    </w:p>
    <w:p w14:paraId="224B8CC9" w14:textId="7FD4A8D6" w:rsidR="00E74E71" w:rsidRPr="00696B5D" w:rsidRDefault="00E74E71"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hAnsiTheme="minorHAnsi" w:cstheme="minorHAnsi"/>
          <w:color w:val="000000"/>
          <w:sz w:val="22"/>
          <w:szCs w:val="22"/>
        </w:rPr>
        <w:t xml:space="preserve">Münhasıran TTG’den kaynaklanan sebepler dışında; Yüklenici’nin işbu Sözleşme Satınalma Siparişi ve/veya bunların eklerinde belirlenen teslimat yükümlülüklerini ihlal etmesi ve/veya bu yükümlülüklerini belirlenmiş süreler içinde yerine getirmemesi halinde, TTG her bir gecikme günü için, Sözleşme bedelinin %2 (yüzdeiki)’si oranında gecikme cezası uygulama hakkına sahiptir. TTG’nin gecikme cezasını talep </w:t>
      </w:r>
      <w:r w:rsidRPr="00696B5D">
        <w:rPr>
          <w:rFonts w:asciiTheme="minorHAnsi" w:hAnsiTheme="minorHAnsi" w:cstheme="minorHAnsi"/>
          <w:color w:val="000000"/>
          <w:sz w:val="22"/>
          <w:szCs w:val="22"/>
        </w:rPr>
        <w:lastRenderedPageBreak/>
        <w:t>etmemiş olması bu talep hakkından feragat ettiği veya ileride olabilecek gecikmelerde de gecikme cezasını talep etmeyeceği anlamına gelmez</w:t>
      </w:r>
      <w:r w:rsidRPr="00696B5D">
        <w:rPr>
          <w:rFonts w:asciiTheme="minorHAnsi" w:eastAsia="Calibri" w:hAnsiTheme="minorHAnsi" w:cstheme="minorHAnsi"/>
          <w:sz w:val="22"/>
          <w:szCs w:val="22"/>
          <w:lang w:val="en-US"/>
        </w:rPr>
        <w:t>.</w:t>
      </w:r>
    </w:p>
    <w:p w14:paraId="4764C4E7" w14:textId="66D0E728" w:rsidR="00E74E71" w:rsidRPr="00696B5D" w:rsidRDefault="00E74E71"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eastAsia="Calibri" w:hAnsiTheme="minorHAnsi" w:cstheme="minorHAnsi"/>
          <w:sz w:val="22"/>
          <w:szCs w:val="22"/>
          <w:lang w:val="en-US"/>
        </w:rPr>
        <w:t xml:space="preserve">  Gecikme süresi 10 (on) günü geçemez. Bu sürenin aşılması halinde TTG gecikme cezası uygulamaya devam ederek beklemekte veya Sözleşme</w:t>
      </w:r>
      <w:r w:rsidRPr="00696B5D">
        <w:rPr>
          <w:rFonts w:asciiTheme="minorHAnsi" w:hAnsiTheme="minorHAnsi" w:cstheme="minorHAnsi"/>
          <w:sz w:val="22"/>
          <w:szCs w:val="22"/>
        </w:rPr>
        <w:t>/</w:t>
      </w:r>
      <w:r w:rsidR="00325470" w:rsidRPr="00696B5D" w:rsidDel="00325470">
        <w:rPr>
          <w:rFonts w:asciiTheme="minorHAnsi" w:hAnsiTheme="minorHAnsi" w:cstheme="minorHAnsi"/>
          <w:sz w:val="22"/>
          <w:szCs w:val="22"/>
        </w:rPr>
        <w:t xml:space="preserve"> </w:t>
      </w:r>
      <w:r w:rsidRPr="00696B5D">
        <w:rPr>
          <w:rFonts w:asciiTheme="minorHAnsi" w:hAnsiTheme="minorHAnsi" w:cstheme="minorHAnsi"/>
          <w:sz w:val="22"/>
          <w:szCs w:val="22"/>
        </w:rPr>
        <w:t>Satınalma Siparişi</w:t>
      </w:r>
      <w:r w:rsidRPr="00696B5D">
        <w:rPr>
          <w:rFonts w:asciiTheme="minorHAnsi" w:eastAsia="Calibri" w:hAnsiTheme="minorHAnsi" w:cstheme="minorHAnsi"/>
          <w:sz w:val="22"/>
          <w:szCs w:val="22"/>
          <w:lang w:val="en-US"/>
        </w:rPr>
        <w:t>’ni tek taraflı ve herhangi bir tazminat ödemeksizin feshetmekte serbest olacaktır.</w:t>
      </w:r>
    </w:p>
    <w:p w14:paraId="37DA7EDE" w14:textId="516E153C" w:rsidR="00A97F74" w:rsidRPr="00696B5D" w:rsidRDefault="00A97F74"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eastAsia="Calibri" w:hAnsiTheme="minorHAnsi" w:cstheme="minorHAnsi"/>
          <w:sz w:val="22"/>
          <w:szCs w:val="22"/>
          <w:lang w:val="en-US"/>
        </w:rPr>
        <w:t xml:space="preserve">Yüklenici’nin işbu Sözleşme’nin Personel’e ilişkin maddelerinde yazılı sürelerde gerekli değişiklikleri yapmaması halinde gecikilen beher gün başına </w:t>
      </w:r>
      <w:r w:rsidR="00C16552">
        <w:rPr>
          <w:rFonts w:asciiTheme="minorHAnsi" w:eastAsia="Calibri" w:hAnsiTheme="minorHAnsi" w:cstheme="minorHAnsi"/>
          <w:sz w:val="22"/>
          <w:szCs w:val="22"/>
          <w:lang w:val="en-US"/>
        </w:rPr>
        <w:t>100 TL</w:t>
      </w:r>
      <w:r w:rsidR="00C16552" w:rsidRPr="00696B5D">
        <w:rPr>
          <w:rFonts w:asciiTheme="minorHAnsi" w:eastAsia="Calibri" w:hAnsiTheme="minorHAnsi" w:cstheme="minorHAnsi"/>
          <w:sz w:val="22"/>
          <w:szCs w:val="22"/>
          <w:lang w:val="en-US"/>
        </w:rPr>
        <w:t xml:space="preserve"> </w:t>
      </w:r>
      <w:r w:rsidRPr="00696B5D">
        <w:rPr>
          <w:rFonts w:asciiTheme="minorHAnsi" w:eastAsia="Calibri" w:hAnsiTheme="minorHAnsi" w:cstheme="minorHAnsi"/>
          <w:sz w:val="22"/>
          <w:szCs w:val="22"/>
          <w:lang w:val="en-US"/>
        </w:rPr>
        <w:t>(</w:t>
      </w:r>
      <w:r w:rsidR="00C16552">
        <w:rPr>
          <w:rFonts w:asciiTheme="minorHAnsi" w:eastAsia="Calibri" w:hAnsiTheme="minorHAnsi" w:cstheme="minorHAnsi"/>
          <w:sz w:val="22"/>
          <w:szCs w:val="22"/>
          <w:lang w:val="en-US"/>
        </w:rPr>
        <w:t>Yüz Türk Lirası</w:t>
      </w:r>
      <w:r w:rsidRPr="00696B5D">
        <w:rPr>
          <w:rFonts w:asciiTheme="minorHAnsi" w:eastAsia="Calibri" w:hAnsiTheme="minorHAnsi" w:cstheme="minorHAnsi"/>
          <w:sz w:val="22"/>
          <w:szCs w:val="22"/>
          <w:lang w:val="en-US"/>
        </w:rPr>
        <w:t xml:space="preserve">) tutarındaki </w:t>
      </w:r>
      <w:r w:rsidRPr="00696B5D">
        <w:rPr>
          <w:rFonts w:asciiTheme="minorHAnsi" w:hAnsiTheme="minorHAnsi" w:cstheme="minorHAnsi"/>
          <w:kern w:val="32"/>
          <w:sz w:val="22"/>
          <w:szCs w:val="22"/>
        </w:rPr>
        <w:t xml:space="preserve">cezai şartı uygulama hakkına sahiptir. Bahsekonu durumun 30 (otuz) günden fazla sürmesi derhal fesih gerektiren ihlal olarak değerlendirilir. </w:t>
      </w:r>
    </w:p>
    <w:p w14:paraId="7FE2A024" w14:textId="06781E4A" w:rsidR="00E74E71" w:rsidRPr="00696B5D" w:rsidRDefault="00E74E71" w:rsidP="00696B5D">
      <w:pPr>
        <w:pStyle w:val="ListParagraph"/>
        <w:numPr>
          <w:ilvl w:val="1"/>
          <w:numId w:val="3"/>
        </w:numPr>
        <w:spacing w:line="276" w:lineRule="auto"/>
        <w:ind w:left="0" w:firstLine="0"/>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 xml:space="preserve">10.1 </w:t>
      </w:r>
      <w:r w:rsidR="00A97F74" w:rsidRPr="00696B5D">
        <w:rPr>
          <w:rFonts w:asciiTheme="minorHAnsi" w:hAnsiTheme="minorHAnsi" w:cstheme="minorHAnsi"/>
          <w:color w:val="000000"/>
          <w:sz w:val="22"/>
          <w:szCs w:val="22"/>
        </w:rPr>
        <w:t xml:space="preserve">ve 10.3. </w:t>
      </w:r>
      <w:r w:rsidRPr="00696B5D">
        <w:rPr>
          <w:rFonts w:asciiTheme="minorHAnsi" w:hAnsiTheme="minorHAnsi" w:cstheme="minorHAnsi"/>
          <w:color w:val="000000"/>
          <w:sz w:val="22"/>
          <w:szCs w:val="22"/>
        </w:rPr>
        <w:t>madde</w:t>
      </w:r>
      <w:r w:rsidR="00A97F74" w:rsidRPr="00696B5D">
        <w:rPr>
          <w:rFonts w:asciiTheme="minorHAnsi" w:hAnsiTheme="minorHAnsi" w:cstheme="minorHAnsi"/>
          <w:color w:val="000000"/>
          <w:sz w:val="22"/>
          <w:szCs w:val="22"/>
        </w:rPr>
        <w:t>ler</w:t>
      </w:r>
      <w:r w:rsidRPr="00696B5D">
        <w:rPr>
          <w:rFonts w:asciiTheme="minorHAnsi" w:hAnsiTheme="minorHAnsi" w:cstheme="minorHAnsi"/>
          <w:color w:val="000000"/>
          <w:sz w:val="22"/>
          <w:szCs w:val="22"/>
        </w:rPr>
        <w:t>inde belirtilen haller</w:t>
      </w:r>
      <w:r w:rsidR="00A97F74" w:rsidRPr="00696B5D">
        <w:rPr>
          <w:rFonts w:asciiTheme="minorHAnsi" w:hAnsiTheme="minorHAnsi" w:cstheme="minorHAnsi"/>
          <w:color w:val="000000"/>
          <w:sz w:val="22"/>
          <w:szCs w:val="22"/>
        </w:rPr>
        <w:t>d</w:t>
      </w:r>
      <w:r w:rsidRPr="00696B5D">
        <w:rPr>
          <w:rFonts w:asciiTheme="minorHAnsi" w:hAnsiTheme="minorHAnsi" w:cstheme="minorHAnsi"/>
          <w:color w:val="000000"/>
          <w:sz w:val="22"/>
          <w:szCs w:val="22"/>
        </w:rPr>
        <w:t>e mükerrer uygulanmamak üzere, Sözleşme ve Satınalma Siparişi’nde belirtilen işlerin tam ve gereği gibi yerine getirilmediğinin ve/veya Yüklenici’nin Sözleşme’nin ve Satınalma Siparişi’nin herhangi bir hükmüne aykırı davrandığının TTG tarafından tespit edildiği hallerde; Yüklenici tarafından tam ve gereği gibi yerine getirilmeyen her bir edim/her bir aykırılık için, Sözleşme toplam bedeli tutarını aşmayacak şekilde TTG tarafından belirlenecek ceza, Yüklenici tarafından ilk talep üzerine derhal ve nakden ödenecektir.</w:t>
      </w:r>
    </w:p>
    <w:p w14:paraId="34267732" w14:textId="4637582C" w:rsidR="00E74E71" w:rsidRPr="00D633EB" w:rsidRDefault="00E74E71" w:rsidP="00696B5D">
      <w:pPr>
        <w:pStyle w:val="ListParagraph"/>
        <w:numPr>
          <w:ilvl w:val="1"/>
          <w:numId w:val="3"/>
        </w:numPr>
        <w:tabs>
          <w:tab w:val="left" w:pos="0"/>
        </w:tabs>
        <w:spacing w:line="276" w:lineRule="auto"/>
        <w:ind w:left="0" w:firstLine="0"/>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 xml:space="preserve">İşbu 10. maddede öngörülen cezalar </w:t>
      </w:r>
      <w:r w:rsidR="0014212D" w:rsidRPr="00D633EB">
        <w:rPr>
          <w:rFonts w:asciiTheme="minorHAnsi" w:hAnsiTheme="minorHAnsi" w:cstheme="minorHAnsi"/>
          <w:color w:val="000000"/>
          <w:sz w:val="22"/>
          <w:szCs w:val="22"/>
        </w:rPr>
        <w:t xml:space="preserve">Sözleşme eki Teknik Şartname’de </w:t>
      </w:r>
      <w:r w:rsidRPr="00D633EB">
        <w:rPr>
          <w:rFonts w:asciiTheme="minorHAnsi" w:hAnsiTheme="minorHAnsi" w:cstheme="minorHAnsi"/>
          <w:color w:val="000000"/>
          <w:sz w:val="22"/>
          <w:szCs w:val="22"/>
        </w:rPr>
        <w:t xml:space="preserve">aynı ihlale ilişkin açıkça başka bir oran veya tutar belirtilmedikçe Taraflar arasında uygulama alanı bulacaktır. </w:t>
      </w:r>
    </w:p>
    <w:p w14:paraId="42B78537" w14:textId="6A201D65" w:rsidR="00E74E71" w:rsidRPr="00696B5D" w:rsidRDefault="00E74E71" w:rsidP="00696B5D">
      <w:pPr>
        <w:pStyle w:val="ListParagraph"/>
        <w:numPr>
          <w:ilvl w:val="1"/>
          <w:numId w:val="3"/>
        </w:numPr>
        <w:tabs>
          <w:tab w:val="left" w:pos="709"/>
        </w:tabs>
        <w:spacing w:line="276" w:lineRule="auto"/>
        <w:ind w:left="0" w:firstLine="0"/>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TTG’nin işbu 10. madde kapsamında uygulayacağı cezalara ek olarak, uğradığı zararlarının tazminini talep ve dava hakkı, Sözleşme/</w:t>
      </w:r>
      <w:r w:rsidR="00325470" w:rsidRPr="00696B5D" w:rsidDel="00325470">
        <w:rPr>
          <w:rFonts w:asciiTheme="minorHAnsi" w:hAnsiTheme="minorHAnsi" w:cstheme="minorHAnsi"/>
          <w:color w:val="000000"/>
          <w:sz w:val="22"/>
          <w:szCs w:val="22"/>
        </w:rPr>
        <w:t xml:space="preserve"> </w:t>
      </w:r>
      <w:r w:rsidRPr="00696B5D">
        <w:rPr>
          <w:rFonts w:asciiTheme="minorHAnsi" w:hAnsiTheme="minorHAnsi" w:cstheme="minorHAnsi"/>
          <w:color w:val="000000"/>
          <w:sz w:val="22"/>
          <w:szCs w:val="22"/>
        </w:rPr>
        <w:t xml:space="preserve">Satınalma Siparişi’ni fesih/iptal hakkı ile Sözleşme ve </w:t>
      </w:r>
      <w:r w:rsidRPr="00696B5D">
        <w:rPr>
          <w:rFonts w:asciiTheme="minorHAnsi" w:hAnsiTheme="minorHAnsi" w:cstheme="minorHAnsi"/>
          <w:sz w:val="22"/>
          <w:szCs w:val="22"/>
        </w:rPr>
        <w:t>Uygulanacak Yasalar’dan</w:t>
      </w:r>
      <w:r w:rsidRPr="00696B5D">
        <w:rPr>
          <w:rFonts w:asciiTheme="minorHAnsi" w:hAnsiTheme="minorHAnsi" w:cstheme="minorHAnsi"/>
          <w:color w:val="000000"/>
          <w:sz w:val="22"/>
          <w:szCs w:val="22"/>
        </w:rPr>
        <w:t xml:space="preserve"> kaynaklı sair hakları saklıdır.</w:t>
      </w:r>
    </w:p>
    <w:p w14:paraId="275FB3F4" w14:textId="1C43DABA" w:rsidR="00A97F74" w:rsidRPr="00696B5D" w:rsidRDefault="00E74E71"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hAnsiTheme="minorHAnsi" w:cstheme="minorHAnsi"/>
          <w:bCs/>
          <w:sz w:val="22"/>
          <w:szCs w:val="22"/>
        </w:rPr>
      </w:pPr>
      <w:r w:rsidRPr="00696B5D">
        <w:rPr>
          <w:rFonts w:asciiTheme="minorHAnsi" w:hAnsiTheme="minorHAnsi" w:cstheme="minorHAnsi"/>
          <w:color w:val="000000"/>
          <w:sz w:val="22"/>
          <w:szCs w:val="22"/>
        </w:rPr>
        <w:t>Cezalar, Yüklenici’ye ayrıca protesto çekmeye ya da hüküm almaya gerek kalmaksızın Yüklenici alacaklarından kesilir.</w:t>
      </w:r>
      <w:r w:rsidR="00A97F74" w:rsidRPr="00696B5D">
        <w:rPr>
          <w:rFonts w:asciiTheme="minorHAnsi" w:hAnsiTheme="minorHAnsi" w:cstheme="minorHAnsi"/>
          <w:color w:val="000000"/>
          <w:sz w:val="22"/>
          <w:szCs w:val="22"/>
        </w:rPr>
        <w:t xml:space="preserve"> </w:t>
      </w:r>
      <w:r w:rsidR="00A97F74" w:rsidRPr="00696B5D">
        <w:rPr>
          <w:rFonts w:asciiTheme="minorHAnsi" w:hAnsiTheme="minorHAnsi" w:cstheme="minorHAnsi"/>
          <w:kern w:val="32"/>
          <w:sz w:val="22"/>
          <w:szCs w:val="22"/>
        </w:rPr>
        <w:t>Bu cezanın alacaklardan karşılanamaması halinde 9. Madde uyarınca tahsil edilir.</w:t>
      </w:r>
    </w:p>
    <w:p w14:paraId="75C25598" w14:textId="1BB2D6EE" w:rsidR="00E15493" w:rsidRPr="00696B5D" w:rsidRDefault="00E15493" w:rsidP="00696B5D">
      <w:pPr>
        <w:pStyle w:val="ListParagraph"/>
        <w:spacing w:before="240" w:after="240" w:line="276" w:lineRule="auto"/>
        <w:ind w:left="0"/>
        <w:jc w:val="both"/>
        <w:rPr>
          <w:rFonts w:asciiTheme="minorHAnsi" w:hAnsiTheme="minorHAnsi" w:cstheme="minorHAnsi"/>
          <w:bCs/>
          <w:sz w:val="22"/>
          <w:szCs w:val="22"/>
        </w:rPr>
      </w:pPr>
    </w:p>
    <w:p w14:paraId="3B5A93AB" w14:textId="5401D74B" w:rsidR="00E15493" w:rsidRPr="00696B5D" w:rsidRDefault="00E15493" w:rsidP="00696B5D">
      <w:pPr>
        <w:pStyle w:val="ListParagraph"/>
        <w:numPr>
          <w:ilvl w:val="0"/>
          <w:numId w:val="3"/>
        </w:numPr>
        <w:tabs>
          <w:tab w:val="left" w:pos="709"/>
          <w:tab w:val="left" w:pos="851"/>
        </w:tabs>
        <w:spacing w:before="240" w:after="240" w:line="276" w:lineRule="auto"/>
        <w:contextualSpacing/>
        <w:jc w:val="both"/>
        <w:rPr>
          <w:rFonts w:asciiTheme="minorHAnsi" w:eastAsia="Calibri" w:hAnsiTheme="minorHAnsi" w:cstheme="minorHAnsi"/>
          <w:sz w:val="22"/>
          <w:szCs w:val="22"/>
          <w:lang w:val="en-US"/>
        </w:rPr>
      </w:pPr>
      <w:bookmarkStart w:id="3" w:name="_Toc245526920"/>
      <w:bookmarkStart w:id="4" w:name="_Toc242096183"/>
      <w:r w:rsidRPr="00696B5D">
        <w:rPr>
          <w:rFonts w:asciiTheme="minorHAnsi" w:hAnsiTheme="minorHAnsi" w:cstheme="minorHAnsi"/>
          <w:b/>
          <w:bCs/>
          <w:sz w:val="22"/>
          <w:szCs w:val="22"/>
        </w:rPr>
        <w:t xml:space="preserve">  FİKRİ MÜLKİYET HAK</w:t>
      </w:r>
      <w:r w:rsidR="00A97F74" w:rsidRPr="00696B5D">
        <w:rPr>
          <w:rFonts w:asciiTheme="minorHAnsi" w:hAnsiTheme="minorHAnsi" w:cstheme="minorHAnsi"/>
          <w:b/>
          <w:bCs/>
          <w:sz w:val="22"/>
          <w:szCs w:val="22"/>
        </w:rPr>
        <w:t>LARI</w:t>
      </w:r>
    </w:p>
    <w:p w14:paraId="66F5A639" w14:textId="79B1E55D" w:rsidR="009C544D" w:rsidRPr="00696B5D" w:rsidRDefault="009C544D"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hAnsiTheme="minorHAnsi" w:cstheme="minorHAnsi"/>
          <w:iCs/>
          <w:sz w:val="22"/>
          <w:szCs w:val="22"/>
          <w:lang w:val="en-US"/>
        </w:rPr>
        <w:t xml:space="preserve">Yüklenici, işbu Sözleşme kapsamında tedarik edilen Sözleşme konusu her türlü </w:t>
      </w:r>
      <w:r w:rsidR="00326639" w:rsidRPr="00696B5D">
        <w:rPr>
          <w:rFonts w:asciiTheme="minorHAnsi" w:hAnsiTheme="minorHAnsi" w:cstheme="minorHAnsi"/>
          <w:iCs/>
          <w:sz w:val="22"/>
          <w:szCs w:val="22"/>
          <w:lang w:val="en-US"/>
        </w:rPr>
        <w:t>H</w:t>
      </w:r>
      <w:r w:rsidRPr="00696B5D">
        <w:rPr>
          <w:rFonts w:asciiTheme="minorHAnsi" w:hAnsiTheme="minorHAnsi" w:cstheme="minorHAnsi"/>
          <w:iCs/>
          <w:sz w:val="22"/>
          <w:szCs w:val="22"/>
          <w:lang w:val="en-US"/>
        </w:rPr>
        <w:t>izmet</w:t>
      </w:r>
      <w:r w:rsidR="00000570" w:rsidRPr="00696B5D">
        <w:rPr>
          <w:rFonts w:asciiTheme="minorHAnsi" w:hAnsiTheme="minorHAnsi" w:cstheme="minorHAnsi"/>
          <w:iCs/>
          <w:sz w:val="22"/>
          <w:szCs w:val="22"/>
          <w:lang w:val="en-US"/>
        </w:rPr>
        <w:t>’</w:t>
      </w:r>
      <w:r w:rsidRPr="00696B5D">
        <w:rPr>
          <w:rFonts w:asciiTheme="minorHAnsi" w:hAnsiTheme="minorHAnsi" w:cstheme="minorHAnsi"/>
          <w:iCs/>
          <w:sz w:val="22"/>
          <w:szCs w:val="22"/>
          <w:lang w:val="en-US"/>
        </w:rPr>
        <w:t>in ve ilgili ekipman ve yazılımların üçüncü kişilerin, sayılanlarla sınırlı olmamak üzere, patent, faydalı model, endüstriyel tasarım, marka, know-how, ticari sır ve/veya 5846 sayılı Fikir ve Sanat Eserleri Kanunu’ndan (“FSEK”) doğan hakları da dâhil olmak üzere hiçbir fikri veya sinai hakkını ihlal etmediğini garanti ve taahhüt eder.</w:t>
      </w:r>
    </w:p>
    <w:p w14:paraId="78F6B3F7" w14:textId="4D014F52" w:rsidR="009C544D" w:rsidRPr="00696B5D" w:rsidRDefault="009C544D" w:rsidP="00696B5D">
      <w:pPr>
        <w:pStyle w:val="ListParagraph"/>
        <w:numPr>
          <w:ilvl w:val="1"/>
          <w:numId w:val="3"/>
        </w:numPr>
        <w:tabs>
          <w:tab w:val="left" w:pos="142"/>
          <w:tab w:val="left" w:pos="567"/>
        </w:tabs>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hAnsiTheme="minorHAnsi" w:cstheme="minorHAnsi"/>
          <w:iCs/>
          <w:sz w:val="22"/>
          <w:szCs w:val="22"/>
          <w:lang w:val="en-US"/>
        </w:rPr>
        <w:t xml:space="preserve">İşbu Sözleşme kapsamındaki işin icra edilmesi veya işbu Sözleşme kapsamında verilen hizmetin ve/veya çıktılarının her nevi kullanımı ve/veya satışı nedeniyle, üçüncü kişilerin TTG’ye yönelttiği ve/veya yöneltme tehdidinde bulunduğu patent, faydalı model, endüstriyel tasarım, marka ve eserden doğan mali ve manevi haklar ile ticari sır, know-how ve benzerlerinin ihlal edilmesine yönelik her türlü talep veya dava durumunda, Yüklenici resmi bir makamın kararı ve/veya  hakem ya da mahkeme hükmü gereği </w:t>
      </w:r>
      <w:r w:rsidR="00326639" w:rsidRPr="00696B5D">
        <w:rPr>
          <w:rFonts w:asciiTheme="minorHAnsi" w:hAnsiTheme="minorHAnsi" w:cstheme="minorHAnsi"/>
          <w:sz w:val="22"/>
          <w:szCs w:val="22"/>
        </w:rPr>
        <w:t>Uygulanacak Yasalar’dan</w:t>
      </w:r>
      <w:r w:rsidR="00326639" w:rsidRPr="00696B5D">
        <w:rPr>
          <w:rFonts w:asciiTheme="minorHAnsi" w:hAnsiTheme="minorHAnsi" w:cstheme="minorHAnsi"/>
          <w:kern w:val="32"/>
          <w:sz w:val="22"/>
          <w:szCs w:val="22"/>
        </w:rPr>
        <w:t xml:space="preserve"> </w:t>
      </w:r>
      <w:r w:rsidRPr="00696B5D">
        <w:rPr>
          <w:rFonts w:asciiTheme="minorHAnsi" w:hAnsiTheme="minorHAnsi" w:cstheme="minorHAnsi"/>
          <w:kern w:val="32"/>
          <w:sz w:val="22"/>
          <w:szCs w:val="22"/>
        </w:rPr>
        <w:t>ve Sözleşme</w:t>
      </w:r>
      <w:r w:rsidR="00326639" w:rsidRPr="00696B5D">
        <w:rPr>
          <w:rFonts w:asciiTheme="minorHAnsi" w:hAnsiTheme="minorHAnsi" w:cstheme="minorHAnsi"/>
          <w:kern w:val="32"/>
          <w:sz w:val="22"/>
          <w:szCs w:val="22"/>
        </w:rPr>
        <w:t>’</w:t>
      </w:r>
      <w:r w:rsidRPr="00696B5D">
        <w:rPr>
          <w:rFonts w:asciiTheme="minorHAnsi" w:hAnsiTheme="minorHAnsi" w:cstheme="minorHAnsi"/>
          <w:kern w:val="32"/>
          <w:sz w:val="22"/>
          <w:szCs w:val="22"/>
        </w:rPr>
        <w:t>den kaynaklanan hakları saklı kalmak kaydıyla</w:t>
      </w:r>
      <w:r w:rsidR="00326639" w:rsidRPr="00696B5D">
        <w:rPr>
          <w:rFonts w:asciiTheme="minorHAnsi" w:hAnsiTheme="minorHAnsi" w:cstheme="minorHAnsi"/>
          <w:kern w:val="32"/>
          <w:sz w:val="22"/>
          <w:szCs w:val="22"/>
        </w:rPr>
        <w:t>,</w:t>
      </w:r>
      <w:r w:rsidRPr="00696B5D">
        <w:rPr>
          <w:rFonts w:asciiTheme="minorHAnsi" w:hAnsiTheme="minorHAnsi" w:cstheme="minorHAnsi"/>
          <w:kern w:val="32"/>
          <w:sz w:val="22"/>
          <w:szCs w:val="22"/>
        </w:rPr>
        <w:t xml:space="preserve"> kanunen TTG’nin ödeme yapmakla yükümlü olduğu zamandan en geç 3(üç) gün önce, diğer hallerde TTG’nin buna yönelik ihbarını müteakip 10 (on) gün içerisinde derhal tazmin edecektir.</w:t>
      </w:r>
    </w:p>
    <w:p w14:paraId="724141BA" w14:textId="0AAFE14F" w:rsidR="00326639" w:rsidRPr="00696B5D" w:rsidRDefault="00326639" w:rsidP="00696B5D">
      <w:pPr>
        <w:pStyle w:val="ListParagraph"/>
        <w:numPr>
          <w:ilvl w:val="1"/>
          <w:numId w:val="3"/>
        </w:numPr>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eastAsiaTheme="minorHAnsi" w:hAnsiTheme="minorHAnsi" w:cstheme="minorHAnsi"/>
          <w:kern w:val="32"/>
          <w:sz w:val="22"/>
          <w:szCs w:val="22"/>
          <w:lang w:eastAsia="en-US"/>
        </w:rPr>
        <w:t xml:space="preserve">Üçüncü kişilere ait fikri ve sınai mülkiyet haklarının ihlaline bağlı hak ve taleplere ilişkin olarak, anılan ihlallerin aynı zamanda, ticari itibarın kaybı veya yöneticileri nezdinde cezai müeyyideleri de içermesi sebebi ile TTG’nin, kendisine yöneltilen taleplerin ciddi olduğuna kanaat getirmesi durumunda TTG üçüncü kişinin talebini Yüklenici’ye bildirecektir. Yüklenici tarafından TTG’nin belirlediği sürede </w:t>
      </w:r>
      <w:r w:rsidRPr="00696B5D">
        <w:rPr>
          <w:rFonts w:asciiTheme="minorHAnsi" w:eastAsiaTheme="minorHAnsi" w:hAnsiTheme="minorHAnsi" w:cstheme="minorHAnsi"/>
          <w:kern w:val="32"/>
          <w:sz w:val="22"/>
          <w:szCs w:val="22"/>
          <w:lang w:eastAsia="en-US"/>
        </w:rPr>
        <w:lastRenderedPageBreak/>
        <w:t>ihtilafın ortadan kaldırılamaması halinde, TTG herhangi bir mahkeme kararına gerek olmaksızın iyi niyet kuralları dâhilinde talep sahibi üçüncü kişiyle uzlaşabilir. Bu durumda; TTG üçüncü kişiye ödemiş olduğu tutarı ödeme tarihinden itibaren işleyecek ticari faiziyle birlikte Yüklenici’ye rücu edecektir.</w:t>
      </w:r>
    </w:p>
    <w:p w14:paraId="7FFC7AA4" w14:textId="0CB5DF95" w:rsidR="00E15493" w:rsidRPr="00696B5D" w:rsidRDefault="009C544D" w:rsidP="00696B5D">
      <w:pPr>
        <w:pStyle w:val="ListParagraph"/>
        <w:numPr>
          <w:ilvl w:val="1"/>
          <w:numId w:val="3"/>
        </w:numPr>
        <w:tabs>
          <w:tab w:val="left" w:pos="142"/>
          <w:tab w:val="left" w:pos="284"/>
          <w:tab w:val="left" w:pos="567"/>
        </w:tabs>
        <w:spacing w:before="240" w:after="240" w:line="276" w:lineRule="auto"/>
        <w:ind w:left="0" w:firstLine="0"/>
        <w:contextualSpacing/>
        <w:jc w:val="both"/>
        <w:rPr>
          <w:rFonts w:asciiTheme="minorHAnsi" w:eastAsia="Calibri" w:hAnsiTheme="minorHAnsi" w:cstheme="minorHAnsi"/>
          <w:sz w:val="22"/>
          <w:szCs w:val="22"/>
          <w:lang w:val="en-US"/>
        </w:rPr>
      </w:pPr>
      <w:r w:rsidRPr="00696B5D">
        <w:rPr>
          <w:rFonts w:asciiTheme="minorHAnsi" w:hAnsiTheme="minorHAnsi" w:cstheme="minorHAnsi"/>
          <w:iCs/>
          <w:sz w:val="22"/>
          <w:szCs w:val="22"/>
        </w:rPr>
        <w:t xml:space="preserve">Yüklenici; işbu Sözleşme kapsamındaki işlerin ifası sırasında ortaya çıkabilecek çalışmaların, yaratacağı logo, amblem ve slogan, özgün müzik ve jingleların, tüm eserlerin, her türlü belge, rapor, plan, video, reklam filmi, çizim, tarifname, kod, web sitesi veya sair belge, materyaller ve sayılanlar başta olmak üzere muhtemel her türlü fikri ve sınai hakka konu içerik (“Materyaller”) ve bunların içeriklerinin mülkiyet ve sair her türlü haklarının, FSEK hükümleri mucibince her türlü işleme, çoğaltma ve yayma ve işaret, ses ve/veya görüntü nakline yarayan araçlarla umuma iletim ve temsil hakları dahil tüm mali hakların tamamının münhasıran, yer, süre ve sayı sınırlaması olmaksızın, Türkiye’de ve tüm Dünya ülkelerinde ve 3. kişilere kullandırılacak şekilde, bedeli işbu Sözleşme kapsamında Yüklenici’ye ödenecek hizmet bedelinin içinde olmak üzere TTG’ye ait olacağını; söz konusu haklar üzerinde Yüklenici’nin tasarruf yetkisinin bulunmadığını, aksi halde bu sebeple TTG’nin uğradığı ve uğraması muhtemel tüm zararları derhal ve nakden ödeyeceğini; umuma arz, adın belirtilmesi hakkı, eserde değişiklik yapılmasını menetmek hakkı, Eser sahibinin malik ve zilyede karşı hakları, (eserin asıllarından geçici süre yararlanma hakkı, aslın malikinin eseri bozmama ve eser sahibinin haklarına zarar vermeme yükümlülüğü), eser adını değiştirme hakları dahil tüm manevi hakların kullanım yetkisinin yer, süre ve sayı sınırlaması olmaksızın, Türkiye’de ve tüm Dünya ülkelerinde ve 3. kişilere kullandırılacak şekilde, bedeli işbu Sözleşme kapsamında Yüklenici’ye ödenecek hizmet bedelinin içinde olmak üzere TTG’ye tanındığını, TTG’nin anılan yetkileri kullanmasının hiç bir şart ve koşul altında hak sahiplerinin haklarına tecavüz teşkil etmediğine dair izin ve taahhütnameleri ilgili hak sahiplerinden derhal temin etmeyi, aksi halde söz konusu eserler üzerinde 5846 sayılı FSEK’ten doğan manevi hakların sahibi kişilerce TTG’ye yönlendirilen tüm talep ve davalardan dolayı TTG’nin uğradığı ya da uğrama tehlikesi bulunan zararları herhangi bir yasal mercie başvurmak gerekmeksizin nakden ve defaten ödemeyi, söz konusu çalışmaları, eserleri ve bunların içeriklerini başka hiçbir yerde kullanmayacağını ve herhangi bir kişi ve/veya kuruluşun kullanımına sunmayacağını kabul, beyan ve taahhüt eder. TTG bu haklar üzerinde tasarruf ve hak sahibidir; bu hakları dilediği şekilde kullanabilecektir ve ortaya çıkan eserlerde değişiklik yapabilir. Yüklenici bu hakların TTG’ye devri, tescili veya korunması için ilave bir ücret ödenmeksizin gerekli her türlü işlemi yapacaktır. TTG tarafından talep edilmesi halinde, Yüklenici ile üçüncü kişiler arasında imzalanan işbu Sözleşme konusu ile ilgili telif haklarına dair her türlü sözleşme işbu Sözleşme’nin ayrılmaz bir eki ve parçasıdır. Yüklenici ile üçüncü kişiler arasında bu minvalde imzalanmış bir sözleşmenin bulunmaması hali, işbu Sözleşmenin ilgili maddelerinin uygulanmasına ve geçerliliğine engel teşkil etmez. </w:t>
      </w:r>
      <w:bookmarkEnd w:id="3"/>
      <w:bookmarkEnd w:id="4"/>
      <w:r w:rsidR="00E15493" w:rsidRPr="00696B5D">
        <w:rPr>
          <w:rFonts w:asciiTheme="minorHAnsi" w:hAnsiTheme="minorHAnsi" w:cstheme="minorHAnsi"/>
          <w:iCs/>
          <w:sz w:val="22"/>
          <w:szCs w:val="22"/>
        </w:rPr>
        <w:t xml:space="preserve"> </w:t>
      </w:r>
    </w:p>
    <w:p w14:paraId="31923C66" w14:textId="1C1E259E" w:rsidR="009C544D" w:rsidRPr="00696B5D" w:rsidRDefault="00E15493" w:rsidP="00696B5D">
      <w:pPr>
        <w:pStyle w:val="ListParagraph"/>
        <w:tabs>
          <w:tab w:val="left" w:pos="-426"/>
          <w:tab w:val="left" w:pos="426"/>
        </w:tabs>
        <w:spacing w:before="240" w:after="240" w:line="276" w:lineRule="auto"/>
        <w:ind w:left="0"/>
        <w:jc w:val="both"/>
        <w:rPr>
          <w:rFonts w:asciiTheme="minorHAnsi" w:eastAsia="Calibri" w:hAnsiTheme="minorHAnsi" w:cstheme="minorHAnsi"/>
          <w:sz w:val="22"/>
          <w:szCs w:val="22"/>
          <w:lang w:val="en-US"/>
        </w:rPr>
      </w:pPr>
      <w:r w:rsidRPr="00696B5D">
        <w:rPr>
          <w:rFonts w:asciiTheme="minorHAnsi" w:eastAsia="Calibri" w:hAnsiTheme="minorHAnsi" w:cstheme="minorHAnsi"/>
          <w:b/>
          <w:sz w:val="22"/>
          <w:szCs w:val="22"/>
          <w:lang w:val="en-US"/>
        </w:rPr>
        <w:t xml:space="preserve">  </w:t>
      </w:r>
    </w:p>
    <w:p w14:paraId="031D669D" w14:textId="77777777" w:rsidR="00E15493" w:rsidRPr="00696B5D" w:rsidRDefault="00E15493" w:rsidP="00696B5D">
      <w:pPr>
        <w:pStyle w:val="ListParagraph"/>
        <w:numPr>
          <w:ilvl w:val="0"/>
          <w:numId w:val="3"/>
        </w:numPr>
        <w:spacing w:after="240" w:line="276" w:lineRule="auto"/>
        <w:contextualSpacing/>
        <w:jc w:val="both"/>
        <w:rPr>
          <w:rFonts w:asciiTheme="minorHAnsi" w:eastAsia="Calibri" w:hAnsiTheme="minorHAnsi" w:cstheme="minorHAnsi"/>
          <w:b/>
          <w:sz w:val="22"/>
          <w:szCs w:val="22"/>
          <w:lang w:val="en-US"/>
        </w:rPr>
      </w:pPr>
      <w:r w:rsidRPr="00696B5D">
        <w:rPr>
          <w:rFonts w:asciiTheme="minorHAnsi" w:hAnsiTheme="minorHAnsi" w:cstheme="minorHAnsi"/>
          <w:b/>
          <w:bCs/>
          <w:sz w:val="22"/>
          <w:szCs w:val="22"/>
        </w:rPr>
        <w:t>YÜKLENİCİNİN PERSONELİNE İLİŞKİN YÜKÜMLÜLÜKLER</w:t>
      </w:r>
    </w:p>
    <w:p w14:paraId="19F63E19" w14:textId="77777777" w:rsidR="00E15493" w:rsidRPr="00696B5D" w:rsidRDefault="00E15493" w:rsidP="00696B5D">
      <w:pPr>
        <w:pStyle w:val="ListParagraph"/>
        <w:spacing w:before="240" w:after="240" w:line="276" w:lineRule="auto"/>
        <w:ind w:left="360"/>
        <w:jc w:val="both"/>
        <w:rPr>
          <w:rFonts w:asciiTheme="minorHAnsi" w:eastAsia="Calibri" w:hAnsiTheme="minorHAnsi" w:cstheme="minorHAnsi"/>
          <w:b/>
          <w:sz w:val="22"/>
          <w:szCs w:val="22"/>
          <w:lang w:val="en-US"/>
        </w:rPr>
      </w:pPr>
    </w:p>
    <w:p w14:paraId="543DCAEE" w14:textId="02403895" w:rsidR="00E15493" w:rsidRPr="00696B5D" w:rsidRDefault="00E15493" w:rsidP="003265CE">
      <w:pPr>
        <w:pStyle w:val="ListParagraph"/>
        <w:numPr>
          <w:ilvl w:val="1"/>
          <w:numId w:val="3"/>
        </w:numPr>
        <w:tabs>
          <w:tab w:val="left" w:pos="993"/>
          <w:tab w:val="left" w:pos="1276"/>
        </w:tabs>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eastAsia="Calibri" w:hAnsiTheme="minorHAnsi" w:cstheme="minorHAnsi"/>
          <w:sz w:val="22"/>
          <w:szCs w:val="22"/>
          <w:lang w:val="en-US"/>
        </w:rPr>
        <w:t>Yüklenici;</w:t>
      </w:r>
    </w:p>
    <w:p w14:paraId="74C76FF0" w14:textId="77777777" w:rsidR="00696B5D" w:rsidRPr="00696B5D" w:rsidRDefault="00696B5D" w:rsidP="00696B5D">
      <w:pPr>
        <w:pStyle w:val="ListParagraph"/>
        <w:tabs>
          <w:tab w:val="left" w:pos="993"/>
          <w:tab w:val="left" w:pos="1276"/>
        </w:tabs>
        <w:spacing w:before="240" w:after="240" w:line="276" w:lineRule="auto"/>
        <w:ind w:left="0"/>
        <w:contextualSpacing/>
        <w:jc w:val="both"/>
        <w:rPr>
          <w:rFonts w:asciiTheme="minorHAnsi" w:eastAsia="Calibri" w:hAnsiTheme="minorHAnsi" w:cstheme="minorHAnsi"/>
          <w:b/>
          <w:sz w:val="22"/>
          <w:szCs w:val="22"/>
          <w:lang w:val="en-US"/>
        </w:rPr>
      </w:pPr>
    </w:p>
    <w:p w14:paraId="619EEA45" w14:textId="4A62E347"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kern w:val="32"/>
          <w:sz w:val="22"/>
          <w:szCs w:val="22"/>
        </w:rPr>
      </w:pPr>
      <w:r w:rsidRPr="00696B5D">
        <w:rPr>
          <w:rFonts w:asciiTheme="minorHAnsi" w:hAnsiTheme="minorHAnsi" w:cstheme="minorHAnsi"/>
          <w:kern w:val="32"/>
          <w:sz w:val="22"/>
          <w:szCs w:val="22"/>
        </w:rPr>
        <w:t xml:space="preserve">TTG’ye Sözleşme’nin hüküm ve koşulları uyarınca ilgili Hizmetler’i vermek üzere uygun nitelikleri ve yetkinlikleri taşıyan ve Proje’nin/İş’in büyüklük, önem ve hızına uygun sayıda, tecrübeli, kanunen sorumluluğu bulunan Personel’i istihdam etmeyi, </w:t>
      </w:r>
    </w:p>
    <w:p w14:paraId="288E42CB" w14:textId="134C85AF"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kern w:val="32"/>
          <w:sz w:val="22"/>
          <w:szCs w:val="22"/>
        </w:rPr>
      </w:pPr>
      <w:r w:rsidRPr="00696B5D">
        <w:rPr>
          <w:rFonts w:asciiTheme="minorHAnsi" w:hAnsiTheme="minorHAnsi" w:cstheme="minorHAnsi"/>
          <w:kern w:val="32"/>
          <w:sz w:val="22"/>
          <w:szCs w:val="22"/>
        </w:rPr>
        <w:lastRenderedPageBreak/>
        <w:t xml:space="preserve">İşbu Sözleşmekapsamındaki Personel’e ilişkin yükümlülüklerini başta İş Kanunu, Sosyal Güvenlik Kanunu, Borçlar Kanunu ve </w:t>
      </w:r>
      <w:r w:rsidRPr="00696B5D">
        <w:rPr>
          <w:rFonts w:asciiTheme="minorHAnsi" w:hAnsiTheme="minorHAnsi" w:cstheme="minorHAnsi"/>
          <w:sz w:val="22"/>
          <w:szCs w:val="22"/>
        </w:rPr>
        <w:t>Uygulanacak Yasalar’a</w:t>
      </w:r>
      <w:r w:rsidRPr="00696B5D">
        <w:rPr>
          <w:rFonts w:asciiTheme="minorHAnsi" w:hAnsiTheme="minorHAnsi" w:cstheme="minorHAnsi"/>
          <w:kern w:val="32"/>
          <w:sz w:val="22"/>
          <w:szCs w:val="22"/>
        </w:rPr>
        <w:t xml:space="preserve"> uygun şekilde yerine getirmeyi, Personel’inin ve alt yüklenicilerininde bunlara uygun davranmasını sağlamayı,</w:t>
      </w:r>
    </w:p>
    <w:p w14:paraId="74A52488" w14:textId="6D23CB52" w:rsidR="00E15493" w:rsidRDefault="00E15493" w:rsidP="00696B5D">
      <w:pPr>
        <w:pStyle w:val="ListParagraph"/>
        <w:numPr>
          <w:ilvl w:val="2"/>
          <w:numId w:val="3"/>
        </w:numPr>
        <w:spacing w:before="240" w:after="240" w:line="276" w:lineRule="auto"/>
        <w:ind w:left="0" w:firstLine="0"/>
        <w:contextualSpacing/>
        <w:jc w:val="both"/>
        <w:rPr>
          <w:rFonts w:asciiTheme="minorHAnsi" w:hAnsiTheme="minorHAnsi" w:cstheme="minorHAnsi"/>
          <w:kern w:val="32"/>
          <w:sz w:val="22"/>
          <w:szCs w:val="22"/>
        </w:rPr>
      </w:pPr>
      <w:r w:rsidRPr="00696B5D">
        <w:rPr>
          <w:rFonts w:asciiTheme="minorHAnsi" w:hAnsiTheme="minorHAnsi" w:cstheme="minorHAnsi"/>
          <w:kern w:val="32"/>
          <w:sz w:val="22"/>
          <w:szCs w:val="22"/>
        </w:rPr>
        <w:t>Personel’inin ve alt yüklenicilerinin, Uygulanacak Yasalar ve işbu Sözleşme/İş Emri/Satınalma Siparişi hükümlerine uygun davranmalarını sağlamayı ve Personeli’nin ve alt yüklenici personelinin eylemlerinden TTG’ye karşı  sorumlu olmayı,</w:t>
      </w:r>
    </w:p>
    <w:p w14:paraId="5859FD58" w14:textId="5E913530" w:rsidR="00D601EA" w:rsidRPr="00D601EA" w:rsidRDefault="00D601EA" w:rsidP="00D601EA">
      <w:pPr>
        <w:pStyle w:val="ListParagraph"/>
        <w:numPr>
          <w:ilvl w:val="2"/>
          <w:numId w:val="3"/>
        </w:numPr>
        <w:spacing w:after="240" w:line="276" w:lineRule="auto"/>
        <w:ind w:left="0" w:firstLine="0"/>
        <w:contextualSpacing/>
        <w:jc w:val="both"/>
        <w:rPr>
          <w:rFonts w:asciiTheme="minorHAnsi" w:eastAsia="Calibri" w:hAnsiTheme="minorHAnsi" w:cstheme="minorHAnsi"/>
          <w:b/>
          <w:sz w:val="22"/>
          <w:szCs w:val="22"/>
          <w:lang w:val="en-US"/>
        </w:rPr>
      </w:pPr>
      <w:r w:rsidRPr="003A0C85">
        <w:rPr>
          <w:rFonts w:ascii="Calibri" w:hAnsi="Calibri"/>
          <w:bCs/>
          <w:sz w:val="22"/>
          <w:szCs w:val="22"/>
        </w:rPr>
        <w:t xml:space="preserve">İşbu Sözleşme kapsamında kendi personeli, TTG personeli ve diğer menfaat sahipleri ile olan ilişkilerinde Türk Telekom İnsan Hakları Politikası ile Türk Telekom Rüşvet ve Yolsuzlukla Mücadele Politikasına,  ilgili ulusal mevzuata ve uluslararası sözleşmelere uygun davranacağını, ilgili kişiler arasında </w:t>
      </w:r>
      <w:r w:rsidRPr="00D601EA">
        <w:rPr>
          <w:rFonts w:ascii="Calibri" w:hAnsi="Calibri"/>
          <w:bCs/>
          <w:sz w:val="22"/>
          <w:szCs w:val="22"/>
        </w:rPr>
        <w:t>hiçbir şekilde yaş, dil, ırk, etnik köken, tabiiyet, sağlık, engellilik durumu, cinsiyet, medeni durum, din ve mezhep, siyasal düşünce, felsefi anlayış ve inanç ayrımı gözetmeyeceğini,</w:t>
      </w:r>
    </w:p>
    <w:p w14:paraId="49E5F3BF" w14:textId="77777777" w:rsidR="00D601EA" w:rsidRPr="00D601EA" w:rsidRDefault="00D601EA" w:rsidP="00D601EA">
      <w:pPr>
        <w:pStyle w:val="ListParagraph"/>
        <w:numPr>
          <w:ilvl w:val="2"/>
          <w:numId w:val="3"/>
        </w:numPr>
        <w:spacing w:after="240" w:line="276" w:lineRule="auto"/>
        <w:ind w:left="0" w:firstLine="0"/>
        <w:contextualSpacing/>
        <w:jc w:val="both"/>
        <w:rPr>
          <w:rFonts w:asciiTheme="minorHAnsi" w:eastAsia="Calibri" w:hAnsiTheme="minorHAnsi" w:cstheme="minorHAnsi"/>
          <w:b/>
          <w:sz w:val="22"/>
          <w:szCs w:val="22"/>
          <w:lang w:val="en-US"/>
        </w:rPr>
      </w:pPr>
      <w:r w:rsidRPr="00D601EA">
        <w:rPr>
          <w:rFonts w:ascii="Calibri" w:hAnsi="Calibri"/>
          <w:bCs/>
          <w:sz w:val="22"/>
          <w:szCs w:val="22"/>
        </w:rPr>
        <w:t>Sözleşme’ye ekli ISG Şartnamesini imzalayıp, TTG’ye ibraz edeceğini,</w:t>
      </w:r>
    </w:p>
    <w:p w14:paraId="4923E531" w14:textId="77777777" w:rsidR="00E15493" w:rsidRPr="00696B5D" w:rsidRDefault="00E15493" w:rsidP="00696B5D">
      <w:pPr>
        <w:pStyle w:val="ListParagraph"/>
        <w:numPr>
          <w:ilvl w:val="2"/>
          <w:numId w:val="3"/>
        </w:numPr>
        <w:spacing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kern w:val="32"/>
          <w:sz w:val="22"/>
          <w:szCs w:val="22"/>
        </w:rPr>
        <w:t>Bağımsız ve tek işveren sıfatıyla Personel’in Uygulanacak Yasalar doğacak ücret, ihbar tazminatı, kıdem tazminatı, yıllık izin ücreti, fazla mesai ücreti, prim ve vergi borçları gibi hak, borç ve mükellefiyetleri ile Personel'in ve/veya alt yüklenicinin ve/veya üçüncü bir şahsın uğrayabileceği kaza, yaralanma, mesleki hastalık, maluliyet ve benzeri durumlardan veya bunun neticesi olarak ortaya çıkan zarar ziyandan veya Personel’in TTG personeline, TTG’ye ve/veya üçüncü şahıslara verebilecekleri zarar ziyandan veya kanunen ödenmesi gereken tazminat ve masraflar ile Bölge Çalışma Müdürlüğü, SGK; Sağlık Bakanlığı Teşkilatı ve sair yetkili kuruluşlarla olan ilişkilerinden ve Uygulanacak Yasalar’dan kaynaklanan hukuki, cezai ve mali yükümlülüklerini münhasıran yerine getirmeyi, TTG’nin talebi halinde ilgili yükümlülüklerini yerine getirdiğini belgelemeyi, TTG’den bu madde kapsamına giren bir talepte bulunulması halinde, TTG tarafından ödenen tutarları ödeme tarihinden itibaren işleyecek faizi ile birlikte aynı para cinsinden nakden ve defaten ilk talebi üzerine derhal TTG’ye ödeyeceğini</w:t>
      </w:r>
      <w:r w:rsidRPr="00696B5D">
        <w:rPr>
          <w:rFonts w:asciiTheme="minorHAnsi" w:hAnsiTheme="minorHAnsi" w:cstheme="minorHAnsi"/>
          <w:bCs/>
          <w:sz w:val="22"/>
          <w:szCs w:val="22"/>
        </w:rPr>
        <w:t>,</w:t>
      </w:r>
    </w:p>
    <w:p w14:paraId="011C7048" w14:textId="7B30895C" w:rsidR="00E15493" w:rsidRPr="00696B5D" w:rsidRDefault="00840F3E" w:rsidP="00696B5D">
      <w:pPr>
        <w:tabs>
          <w:tab w:val="left" w:pos="426"/>
        </w:tabs>
        <w:spacing w:after="240" w:line="276" w:lineRule="auto"/>
        <w:rPr>
          <w:rFonts w:cstheme="minorHAnsi"/>
          <w:lang w:val="en-US"/>
        </w:rPr>
      </w:pPr>
      <w:r w:rsidRPr="00696B5D">
        <w:rPr>
          <w:rFonts w:eastAsia="Times New Roman" w:cstheme="minorHAnsi"/>
          <w:bCs/>
        </w:rPr>
        <w:t xml:space="preserve"> </w:t>
      </w:r>
      <w:r w:rsidR="00E15493" w:rsidRPr="00696B5D">
        <w:rPr>
          <w:rFonts w:eastAsia="Times New Roman" w:cstheme="minorHAnsi"/>
          <w:bCs/>
        </w:rPr>
        <w:t xml:space="preserve">kabul, beyan ve taahhüt eder. </w:t>
      </w:r>
    </w:p>
    <w:p w14:paraId="3B0C27B7" w14:textId="77777777" w:rsidR="00E15493" w:rsidRPr="00696B5D" w:rsidRDefault="00E15493" w:rsidP="00696B5D">
      <w:pPr>
        <w:pStyle w:val="ListParagraph"/>
        <w:numPr>
          <w:ilvl w:val="1"/>
          <w:numId w:val="3"/>
        </w:numPr>
        <w:tabs>
          <w:tab w:val="left" w:pos="426"/>
        </w:tabs>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işbu Sözleşme kapsamında kendi çalıştıracağı Personel ya da TTG’nin onayıyla çalıştıracağı alt yüklenici Personel’ine ilişkin organizasyon şeması hazırlamayı ve talebi halinde bunu TTG’ye ibraz etmeyi, niteliklerine ilişkin olarak aşağıda yazılı hususları kabul, beyan ve taahhüt eder.</w:t>
      </w:r>
    </w:p>
    <w:p w14:paraId="5C5C5BBD" w14:textId="77777777" w:rsidR="00E15493" w:rsidRPr="00696B5D" w:rsidRDefault="00E15493" w:rsidP="00696B5D">
      <w:pPr>
        <w:pStyle w:val="ListParagraph"/>
        <w:numPr>
          <w:ilvl w:val="1"/>
          <w:numId w:val="3"/>
        </w:numPr>
        <w:tabs>
          <w:tab w:val="left" w:pos="426"/>
        </w:tabs>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3. kişi işyerlerinin sorumluluk alanı dışında kalmak üzere, Personel’e ilişkin olarak aşağıda belirtilen hususlarda münhasıran sorumlu olduğunu kabul, beyan ve taahhüt eder.</w:t>
      </w:r>
    </w:p>
    <w:p w14:paraId="5E38592B" w14:textId="78ECB69E"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 xml:space="preserve">Yüklenici, burada sayılanlarla sınırlı olmaksızın Personel’in </w:t>
      </w:r>
      <w:r w:rsidR="00E136C3" w:rsidRPr="00696B5D">
        <w:rPr>
          <w:rFonts w:asciiTheme="minorHAnsi" w:hAnsiTheme="minorHAnsi" w:cstheme="minorHAnsi"/>
          <w:bCs/>
          <w:sz w:val="22"/>
          <w:szCs w:val="22"/>
        </w:rPr>
        <w:t>herhangi bir eylemi</w:t>
      </w:r>
      <w:r w:rsidRPr="00696B5D">
        <w:rPr>
          <w:rFonts w:asciiTheme="minorHAnsi" w:hAnsiTheme="minorHAnsi" w:cstheme="minorHAnsi"/>
          <w:bCs/>
          <w:sz w:val="22"/>
          <w:szCs w:val="22"/>
        </w:rPr>
        <w:t xml:space="preserve"> nedeniyle Sözleşmeden kaynaklanan yükümlülüklerini zamanında yerine getirememesi ve bu Sözleşme’nin ihlaline neden olması halinde işbu Sözleşme’de tanımlanan cezaları ödeyecek/gereğini yerine getirecektir.</w:t>
      </w:r>
    </w:p>
    <w:p w14:paraId="32C1BBF6" w14:textId="77777777"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İşbu Sözleşme asıl işveren-altişveren ilişkisi teşkil etmemekle birlikte, TTG marka güvenilirliğini teminen ve kamu yararını gözeterek; Yüklenici, Personel’in ücret ödemelerine ve kanuni bildirimlerine ilişkin olarak aylık SGK bildirgelerini ve görevli Personel’e ücretin ödendiğini ispat eden bordro örneklerinin birer kopyasını her ay düzenli olarak TTG’ye ibraz edecektir.</w:t>
      </w:r>
    </w:p>
    <w:p w14:paraId="4D549113" w14:textId="7E74C496"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sorumluluk alanı dahilinde meydana gelen ve 3. kiş</w:t>
      </w:r>
      <w:r w:rsidR="00840F3E" w:rsidRPr="00696B5D">
        <w:rPr>
          <w:rFonts w:asciiTheme="minorHAnsi" w:hAnsiTheme="minorHAnsi" w:cstheme="minorHAnsi"/>
          <w:bCs/>
          <w:sz w:val="22"/>
          <w:szCs w:val="22"/>
        </w:rPr>
        <w:t xml:space="preserve">i işyerlerinin sorumluluk alanı </w:t>
      </w:r>
      <w:r w:rsidRPr="00696B5D">
        <w:rPr>
          <w:rFonts w:asciiTheme="minorHAnsi" w:hAnsiTheme="minorHAnsi" w:cstheme="minorHAnsi"/>
          <w:bCs/>
          <w:sz w:val="22"/>
          <w:szCs w:val="22"/>
        </w:rPr>
        <w:t xml:space="preserve">dışındaki olaylar bakımından, Personel'in maruz kalabileceği iş kazaları sonucu gerek Personel’in ve/veya yakınlarının ve/veya SGK’nın TTG’den tazminat talebinde bulunması veya söz konusu tazminatın bu </w:t>
      </w:r>
      <w:r w:rsidRPr="00696B5D">
        <w:rPr>
          <w:rFonts w:asciiTheme="minorHAnsi" w:hAnsiTheme="minorHAnsi" w:cstheme="minorHAnsi"/>
          <w:bCs/>
          <w:sz w:val="22"/>
          <w:szCs w:val="22"/>
        </w:rPr>
        <w:lastRenderedPageBreak/>
        <w:t>sebeple TTG’ye rücu edilmesi halinde bir başka ihtara gerek kalmaksızın ilgili tazminat tutarlarını nakden ve defaten ödeyecektir.</w:t>
      </w:r>
    </w:p>
    <w:p w14:paraId="404E7565" w14:textId="3591FFCA" w:rsidR="00E15493" w:rsidRPr="00696B5D" w:rsidRDefault="00E15493" w:rsidP="00696B5D">
      <w:pPr>
        <w:pStyle w:val="ListParagraph"/>
        <w:numPr>
          <w:ilvl w:val="2"/>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Personel’in hata, ihmal ve/veya her türlü kusur sebebiyle TTG’nin ve/veya üçüncü şahısların uğrayacakları tüm zararlar ile TTG’ten talep edilebilecek ceza ve/veya tazminatlardan sorumludur. Söz konusu zarar/tazminat/cezaların kanuni faizi ile birlikte Yüklenici’nin hak edişinden/alacaklarından; eğer Yüklenici’nin herhangi bir alacağı yoksa yazılı ihtara rağmen 15 (onbeş) gün içinde ödenmemesi halinde varsa kesin ve süresiz Teminat Mektubu’nun nakde çevrilmesi yoluyla tahsil edilebilir ve her halükarda TTG’nin ödemek zorunda kaldığı tutarlar için Yüklenici’ye rücu hakkı saklıdır.</w:t>
      </w:r>
    </w:p>
    <w:p w14:paraId="1CFA8853" w14:textId="77777777" w:rsidR="00E15493" w:rsidRPr="00696B5D" w:rsidRDefault="00E15493" w:rsidP="00696B5D">
      <w:pPr>
        <w:pStyle w:val="ListParagraph"/>
        <w:numPr>
          <w:ilvl w:val="2"/>
          <w:numId w:val="3"/>
        </w:numPr>
        <w:tabs>
          <w:tab w:val="left" w:pos="709"/>
        </w:tabs>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işbu Sözleşme kapsamında görevlendirdiği Personel ile Personel’in işten ayrılmasında durumunda dahi yasaların izin verdiği en uzun süre boyunca yürürlükte kalacak şekilde bir gizlilik sözleşmesi yapacak ve Personel’in işbu Sözleşme ile getirilen gizlilik hükümlerine uygun davranmasını sağlayacak ve talep edilmesi halinde bu gizlilik sözleşmesini TTG’ye ibraz edecektir.</w:t>
      </w:r>
    </w:p>
    <w:p w14:paraId="524C8974" w14:textId="27E57C7A" w:rsidR="00E15493" w:rsidRPr="0043027D" w:rsidRDefault="00E15493" w:rsidP="00696B5D">
      <w:pPr>
        <w:pStyle w:val="ListParagraph"/>
        <w:numPr>
          <w:ilvl w:val="2"/>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696B5D">
        <w:rPr>
          <w:rFonts w:asciiTheme="minorHAnsi" w:hAnsiTheme="minorHAnsi" w:cstheme="minorHAnsi"/>
          <w:bCs/>
          <w:sz w:val="22"/>
          <w:szCs w:val="22"/>
        </w:rPr>
        <w:t>Yüklenici, Sözleşme kapsamındaki Hizmetler’e ilişkin olarak bir yönetim ve koordinasyon birimi bulunduracak ve TTG ile her türlü irtibatı bu birim aracılığıyla kuracaktır.</w:t>
      </w:r>
    </w:p>
    <w:p w14:paraId="29E50ACB" w14:textId="59A14FB9" w:rsidR="0043027D" w:rsidRPr="0043027D" w:rsidRDefault="0043027D" w:rsidP="0043027D">
      <w:pPr>
        <w:pStyle w:val="ListParagraph"/>
        <w:numPr>
          <w:ilvl w:val="1"/>
          <w:numId w:val="3"/>
        </w:numPr>
        <w:spacing w:before="240" w:after="240" w:line="276" w:lineRule="auto"/>
        <w:ind w:left="0" w:firstLine="0"/>
        <w:contextualSpacing/>
        <w:jc w:val="both"/>
        <w:rPr>
          <w:rFonts w:asciiTheme="minorHAnsi" w:eastAsia="Calibri" w:hAnsiTheme="minorHAnsi" w:cstheme="minorHAnsi"/>
          <w:b/>
          <w:sz w:val="22"/>
          <w:szCs w:val="22"/>
          <w:lang w:val="en-US"/>
        </w:rPr>
      </w:pPr>
      <w:r w:rsidRPr="0043027D">
        <w:rPr>
          <w:rFonts w:ascii="Calibri" w:hAnsi="Calibri"/>
          <w:bCs/>
          <w:sz w:val="22"/>
          <w:szCs w:val="22"/>
        </w:rPr>
        <w:t>Yüklenici, işbu Sözleşme kapsamında çalıştıracağı Personeline ilişkin adli sicil belgesi ile bu belgenin TTG’ye iletilmesi hususunda Personelinin açık rıza ve imzasını içerir yazının bir kopyasını TTG’ye iletmekle yükümlüdür.</w:t>
      </w:r>
      <w:r w:rsidRPr="0043027D">
        <w:rPr>
          <w:rFonts w:ascii="Calibri" w:hAnsi="Calibri"/>
          <w:b/>
          <w:bCs/>
          <w:sz w:val="22"/>
          <w:szCs w:val="22"/>
        </w:rPr>
        <w:t xml:space="preserve">  </w:t>
      </w:r>
    </w:p>
    <w:p w14:paraId="5D4214E9" w14:textId="77777777" w:rsidR="00E15493" w:rsidRPr="00696B5D" w:rsidRDefault="00E15493" w:rsidP="00696B5D">
      <w:pPr>
        <w:pStyle w:val="ListParagraph"/>
        <w:spacing w:before="240" w:after="240" w:line="276" w:lineRule="auto"/>
        <w:ind w:left="504"/>
        <w:jc w:val="both"/>
        <w:rPr>
          <w:rFonts w:asciiTheme="minorHAnsi" w:hAnsiTheme="minorHAnsi" w:cstheme="minorHAnsi"/>
          <w:bCs/>
          <w:sz w:val="22"/>
          <w:szCs w:val="22"/>
        </w:rPr>
      </w:pPr>
    </w:p>
    <w:p w14:paraId="4B290C74" w14:textId="77777777" w:rsidR="00E15493" w:rsidRPr="00696B5D" w:rsidRDefault="00E15493" w:rsidP="00696B5D">
      <w:pPr>
        <w:pStyle w:val="ListParagraph"/>
        <w:numPr>
          <w:ilvl w:val="0"/>
          <w:numId w:val="3"/>
        </w:numPr>
        <w:spacing w:after="240" w:line="276" w:lineRule="auto"/>
        <w:contextualSpacing/>
        <w:jc w:val="both"/>
        <w:rPr>
          <w:rFonts w:asciiTheme="minorHAnsi" w:hAnsiTheme="minorHAnsi" w:cstheme="minorHAnsi"/>
          <w:b/>
          <w:color w:val="000000"/>
          <w:sz w:val="22"/>
          <w:szCs w:val="22"/>
        </w:rPr>
      </w:pPr>
      <w:r w:rsidRPr="00696B5D">
        <w:rPr>
          <w:rFonts w:asciiTheme="minorHAnsi" w:hAnsiTheme="minorHAnsi" w:cstheme="minorHAnsi"/>
          <w:b/>
          <w:color w:val="000000"/>
          <w:sz w:val="22"/>
          <w:szCs w:val="22"/>
        </w:rPr>
        <w:t>YÜKLENİCİ’NİN TEMERRÜDÜ</w:t>
      </w:r>
    </w:p>
    <w:p w14:paraId="00CFA7DE" w14:textId="77777777" w:rsidR="00E15493" w:rsidRPr="00696B5D" w:rsidRDefault="00E15493" w:rsidP="00696B5D">
      <w:pPr>
        <w:pStyle w:val="ListParagraph"/>
        <w:spacing w:line="276" w:lineRule="auto"/>
        <w:ind w:left="709"/>
        <w:jc w:val="both"/>
        <w:rPr>
          <w:rFonts w:asciiTheme="minorHAnsi" w:hAnsiTheme="minorHAnsi" w:cstheme="minorHAnsi"/>
          <w:b/>
          <w:color w:val="000000"/>
          <w:sz w:val="22"/>
          <w:szCs w:val="22"/>
        </w:rPr>
      </w:pPr>
      <w:r w:rsidRPr="00696B5D">
        <w:rPr>
          <w:rFonts w:asciiTheme="minorHAnsi" w:hAnsiTheme="minorHAnsi" w:cstheme="minorHAnsi"/>
          <w:color w:val="000000"/>
          <w:sz w:val="22"/>
          <w:szCs w:val="22"/>
        </w:rPr>
        <w:t xml:space="preserve"> </w:t>
      </w:r>
    </w:p>
    <w:p w14:paraId="5F9C2A47" w14:textId="17981AA8" w:rsidR="00DA38DE" w:rsidRPr="00696B5D" w:rsidRDefault="00E15493" w:rsidP="00696B5D">
      <w:pPr>
        <w:spacing w:after="240" w:line="276" w:lineRule="auto"/>
        <w:jc w:val="both"/>
        <w:rPr>
          <w:rFonts w:cstheme="minorHAnsi"/>
          <w:color w:val="000000"/>
        </w:rPr>
      </w:pPr>
      <w:r w:rsidRPr="00696B5D">
        <w:rPr>
          <w:rFonts w:eastAsia="Times New Roman" w:cstheme="minorHAnsi"/>
          <w:color w:val="000000"/>
          <w:lang w:eastAsia="tr-TR"/>
        </w:rPr>
        <w:t>Yüklenici,  Uygulanacak Yasalar’ı ihlal etmesi ve/veya Sözleşme kapsamındaki yükümlülüklerini hiç ya da gereği gibi ifa etmemesi ve/veya TTG’nin talimatlarına riayet etmemesi ve/veya yükümlülüklerini Sözleşme’de öngörüldüğü üzere süratle ve gecikmeksizin ilerletmemesi ve/veya işbu Sözleşme’deki maddelerden ve/veya yükümlülüklerinden herhangi birini ihlal etmesi halinde temerrüde düşmüş sayılır</w:t>
      </w:r>
      <w:r w:rsidRPr="00696B5D">
        <w:rPr>
          <w:rFonts w:cstheme="minorHAnsi"/>
          <w:color w:val="000000"/>
        </w:rPr>
        <w:t>.</w:t>
      </w:r>
    </w:p>
    <w:p w14:paraId="414353B5" w14:textId="77777777" w:rsidR="00840F3E" w:rsidRPr="00696B5D" w:rsidRDefault="00840F3E" w:rsidP="00696B5D">
      <w:pPr>
        <w:spacing w:after="0" w:line="276" w:lineRule="auto"/>
        <w:jc w:val="both"/>
        <w:rPr>
          <w:rFonts w:cstheme="minorHAnsi"/>
          <w:color w:val="000000"/>
        </w:rPr>
      </w:pPr>
    </w:p>
    <w:p w14:paraId="599BE0C5" w14:textId="77777777" w:rsidR="00E15493" w:rsidRPr="00696B5D" w:rsidRDefault="00E15493" w:rsidP="00696B5D">
      <w:pPr>
        <w:pStyle w:val="ListParagraph"/>
        <w:numPr>
          <w:ilvl w:val="0"/>
          <w:numId w:val="3"/>
        </w:numPr>
        <w:tabs>
          <w:tab w:val="left" w:pos="851"/>
        </w:tabs>
        <w:spacing w:after="240" w:line="276" w:lineRule="auto"/>
        <w:contextualSpacing/>
        <w:jc w:val="both"/>
        <w:rPr>
          <w:rFonts w:asciiTheme="minorHAnsi" w:eastAsia="Calibri" w:hAnsiTheme="minorHAnsi" w:cstheme="minorHAnsi"/>
          <w:b/>
          <w:sz w:val="22"/>
          <w:szCs w:val="22"/>
          <w:lang w:val="en-US"/>
        </w:rPr>
      </w:pPr>
      <w:r w:rsidRPr="00696B5D">
        <w:rPr>
          <w:rFonts w:asciiTheme="minorHAnsi" w:eastAsia="Calibri" w:hAnsiTheme="minorHAnsi" w:cstheme="minorHAnsi"/>
          <w:b/>
          <w:sz w:val="22"/>
          <w:szCs w:val="22"/>
        </w:rPr>
        <w:t>SÖZLEŞME’NİN FESHİ</w:t>
      </w:r>
    </w:p>
    <w:p w14:paraId="4C0AC1F4" w14:textId="77777777" w:rsidR="00E15493" w:rsidRPr="00696B5D" w:rsidRDefault="00E15493" w:rsidP="00696B5D">
      <w:pPr>
        <w:pStyle w:val="ListParagraph"/>
        <w:spacing w:line="276" w:lineRule="auto"/>
        <w:ind w:left="360"/>
        <w:jc w:val="both"/>
        <w:rPr>
          <w:rFonts w:asciiTheme="minorHAnsi" w:eastAsia="Calibri" w:hAnsiTheme="minorHAnsi" w:cstheme="minorHAnsi"/>
          <w:b/>
          <w:sz w:val="22"/>
          <w:szCs w:val="22"/>
          <w:lang w:val="en-US"/>
        </w:rPr>
      </w:pPr>
    </w:p>
    <w:p w14:paraId="53BF860E" w14:textId="51668475" w:rsidR="00E15493" w:rsidRPr="00696B5D" w:rsidRDefault="00E15493" w:rsidP="00696B5D">
      <w:pPr>
        <w:pStyle w:val="ListParagraph"/>
        <w:numPr>
          <w:ilvl w:val="1"/>
          <w:numId w:val="3"/>
        </w:numPr>
        <w:tabs>
          <w:tab w:val="left" w:pos="567"/>
        </w:tabs>
        <w:spacing w:after="240" w:line="276" w:lineRule="auto"/>
        <w:ind w:left="567" w:hanging="567"/>
        <w:contextualSpacing/>
        <w:jc w:val="both"/>
        <w:rPr>
          <w:rFonts w:asciiTheme="minorHAnsi" w:hAnsiTheme="minorHAnsi" w:cstheme="minorHAnsi"/>
          <w:color w:val="000000"/>
          <w:sz w:val="22"/>
          <w:szCs w:val="22"/>
        </w:rPr>
      </w:pPr>
      <w:r w:rsidRPr="00696B5D">
        <w:rPr>
          <w:rFonts w:asciiTheme="minorHAnsi" w:hAnsiTheme="minorHAnsi" w:cstheme="minorHAnsi"/>
          <w:color w:val="000000"/>
          <w:sz w:val="22"/>
          <w:szCs w:val="22"/>
        </w:rPr>
        <w:t xml:space="preserve"> TTG’nin bu Sözleşme kapsamında fesih hakkı tanıyan diğer haller saklı kalmak kaydıyla Yüklenici’nin;</w:t>
      </w:r>
    </w:p>
    <w:p w14:paraId="7586ADCF" w14:textId="77777777" w:rsidR="00E15493" w:rsidRPr="00696B5D" w:rsidRDefault="00E15493" w:rsidP="00696B5D">
      <w:pPr>
        <w:numPr>
          <w:ilvl w:val="0"/>
          <w:numId w:val="1"/>
        </w:numPr>
        <w:spacing w:after="240" w:line="276" w:lineRule="auto"/>
        <w:ind w:left="1786"/>
        <w:jc w:val="both"/>
        <w:rPr>
          <w:rFonts w:cstheme="minorHAnsi"/>
          <w:color w:val="000000"/>
        </w:rPr>
      </w:pPr>
      <w:r w:rsidRPr="00696B5D">
        <w:rPr>
          <w:rFonts w:cstheme="minorHAnsi"/>
          <w:color w:val="000000"/>
        </w:rPr>
        <w:t>Sözleşme çerçevesinde temerrüde düşmesi,</w:t>
      </w:r>
    </w:p>
    <w:p w14:paraId="4AC6DF86" w14:textId="77777777" w:rsidR="00E15493" w:rsidRPr="00696B5D" w:rsidRDefault="00E15493" w:rsidP="00696B5D">
      <w:pPr>
        <w:numPr>
          <w:ilvl w:val="0"/>
          <w:numId w:val="1"/>
        </w:numPr>
        <w:spacing w:after="240" w:line="276" w:lineRule="auto"/>
        <w:ind w:left="1786"/>
        <w:jc w:val="both"/>
        <w:rPr>
          <w:rFonts w:cstheme="minorHAnsi"/>
          <w:color w:val="000000"/>
        </w:rPr>
      </w:pPr>
      <w:r w:rsidRPr="00696B5D">
        <w:rPr>
          <w:rFonts w:cstheme="minorHAnsi"/>
          <w:color w:val="000000"/>
        </w:rPr>
        <w:t>Özen ve sadakat yükümlülüğünü tam ve gereği gibi yerine getirmemesi,</w:t>
      </w:r>
    </w:p>
    <w:p w14:paraId="4A7A054D" w14:textId="776B5C41" w:rsidR="00E15493" w:rsidRPr="00696B5D" w:rsidRDefault="00E15493" w:rsidP="00696B5D">
      <w:pPr>
        <w:spacing w:before="240" w:after="240" w:line="276" w:lineRule="auto"/>
        <w:jc w:val="both"/>
        <w:rPr>
          <w:rFonts w:cstheme="minorHAnsi"/>
          <w:color w:val="000000"/>
        </w:rPr>
      </w:pPr>
      <w:r w:rsidRPr="00696B5D">
        <w:rPr>
          <w:rFonts w:cstheme="minorHAnsi"/>
          <w:color w:val="000000"/>
        </w:rPr>
        <w:t>hallerinden herhangi birinin oluşması durumunda, bu durumun giderilmesi veya ortadan kaldırılmasının mümkün olması ya da giderilmeye çalışılmasının daha büyük zararlara yol açma ihtimalinin olmaması ve/veya tabi olduğu mevzuat gereği temerrüdün derhal giderilmesinin gerekmemesi veya işbu maddede belirtilen süreden daha kısa bir sürede giderilmesinin gerekmemesi durumunda Yüklenici’ye durum yazılı olarak bildirilir</w:t>
      </w:r>
      <w:r w:rsidR="00E136C3" w:rsidRPr="00696B5D">
        <w:rPr>
          <w:rFonts w:cstheme="minorHAnsi"/>
          <w:color w:val="000000"/>
        </w:rPr>
        <w:t xml:space="preserve"> </w:t>
      </w:r>
      <w:r w:rsidR="00E136C3" w:rsidRPr="00696B5D">
        <w:rPr>
          <w:rFonts w:cstheme="minorHAnsi"/>
          <w:lang w:eastAsia="tr-TR"/>
        </w:rPr>
        <w:t xml:space="preserve">ve </w:t>
      </w:r>
      <w:r w:rsidRPr="00696B5D">
        <w:rPr>
          <w:rFonts w:cstheme="minorHAnsi"/>
          <w:color w:val="000000"/>
        </w:rPr>
        <w:t>a Yüklenici’ye 10 (on) günlük süre verilir. Yüklenici, bu süre içerisinde de taahhütlerini yerine getirmez ise başka bir işleme veya hüküm almaya gerek kalmaksızın TTG bu Sözleşme’yi/</w:t>
      </w:r>
      <w:r w:rsidR="00325470" w:rsidRPr="00696B5D" w:rsidDel="00325470">
        <w:rPr>
          <w:rFonts w:cstheme="minorHAnsi"/>
          <w:color w:val="000000"/>
        </w:rPr>
        <w:t xml:space="preserve"> </w:t>
      </w:r>
      <w:r w:rsidRPr="00696B5D">
        <w:rPr>
          <w:rFonts w:cstheme="minorHAnsi"/>
          <w:color w:val="000000"/>
        </w:rPr>
        <w:t xml:space="preserve">ilgili </w:t>
      </w:r>
      <w:r w:rsidRPr="00696B5D">
        <w:rPr>
          <w:rFonts w:cstheme="minorHAnsi"/>
          <w:color w:val="000000"/>
        </w:rPr>
        <w:lastRenderedPageBreak/>
        <w:t>Satınalma Siparişi’ni kısmen ya da tamamen, yapacağı yazılı bildirimle tek taraflı olarak ve herhangi bir tazminat ödemeksizin haklı nedenle feshetmeye yetkilidir.</w:t>
      </w:r>
    </w:p>
    <w:p w14:paraId="462A2AD9" w14:textId="77777777" w:rsidR="00E15493" w:rsidRPr="00696B5D" w:rsidRDefault="00E15493" w:rsidP="00696B5D">
      <w:pPr>
        <w:numPr>
          <w:ilvl w:val="1"/>
          <w:numId w:val="3"/>
        </w:numPr>
        <w:tabs>
          <w:tab w:val="left" w:pos="567"/>
        </w:tabs>
        <w:spacing w:after="240" w:line="276" w:lineRule="auto"/>
        <w:jc w:val="both"/>
        <w:rPr>
          <w:rFonts w:cstheme="minorHAnsi"/>
          <w:color w:val="000000"/>
        </w:rPr>
      </w:pPr>
      <w:r w:rsidRPr="00696B5D">
        <w:rPr>
          <w:rFonts w:cstheme="minorHAnsi"/>
          <w:color w:val="000000"/>
        </w:rPr>
        <w:t xml:space="preserve"> Yüklenici’nin;</w:t>
      </w:r>
    </w:p>
    <w:p w14:paraId="5ABA926F" w14:textId="483B0428"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 xml:space="preserve">Gizlilik ve/veya Fikri Mülkiyet Hakları </w:t>
      </w:r>
      <w:r w:rsidRPr="00696B5D">
        <w:rPr>
          <w:rFonts w:cstheme="minorHAnsi"/>
        </w:rPr>
        <w:t xml:space="preserve">ve/veya Kanuni Yükümlülükler ve/veya </w:t>
      </w:r>
      <w:r w:rsidRPr="00696B5D">
        <w:rPr>
          <w:rFonts w:cstheme="minorHAnsi"/>
          <w:lang w:val="en-US"/>
        </w:rPr>
        <w:t xml:space="preserve">Yüklenici Personeline ilişkin hükümler </w:t>
      </w:r>
      <w:r w:rsidRPr="00696B5D">
        <w:rPr>
          <w:rFonts w:cstheme="minorHAnsi"/>
        </w:rPr>
        <w:t>ve/veya Teminat</w:t>
      </w:r>
      <w:r w:rsidR="00340183">
        <w:rPr>
          <w:rFonts w:cstheme="minorHAnsi"/>
        </w:rPr>
        <w:t xml:space="preserve"> ve/veya Kişisel Verilerin Korunması</w:t>
      </w:r>
      <w:r w:rsidRPr="00696B5D">
        <w:rPr>
          <w:rFonts w:cstheme="minorHAnsi"/>
        </w:rPr>
        <w:t xml:space="preserve"> </w:t>
      </w:r>
      <w:r w:rsidRPr="00696B5D">
        <w:rPr>
          <w:rFonts w:cstheme="minorHAnsi"/>
          <w:color w:val="000000"/>
        </w:rPr>
        <w:t>hükümlerini ihlal etmesi,</w:t>
      </w:r>
    </w:p>
    <w:p w14:paraId="429090BA" w14:textId="10C990AB" w:rsidR="00E15493" w:rsidRPr="00696B5D" w:rsidRDefault="00E15493" w:rsidP="00696B5D">
      <w:pPr>
        <w:numPr>
          <w:ilvl w:val="0"/>
          <w:numId w:val="2"/>
        </w:numPr>
        <w:spacing w:after="240" w:line="276" w:lineRule="auto"/>
        <w:ind w:left="2127" w:hanging="709"/>
        <w:jc w:val="both"/>
        <w:rPr>
          <w:rFonts w:cstheme="minorHAnsi"/>
          <w:color w:val="000000"/>
        </w:rPr>
      </w:pPr>
      <w:r w:rsidRPr="00696B5D">
        <w:rPr>
          <w:rFonts w:cstheme="minorHAnsi"/>
          <w:color w:val="000000"/>
        </w:rPr>
        <w:t xml:space="preserve">Borç ödemeden aciz hale düşmesi veya aciz ilanı üzerine tasfiye memuru veya tasfiye yöneticisi tayini için bir müracaat yapılması veya hakkında tasfiye kararı alınması veya yetkili bir mahkemenin bu yönde bir karar vermesi veya bir idari emre tabi olması ya da hakkında mahkeme tarafından </w:t>
      </w:r>
      <w:r w:rsidR="00696B5D" w:rsidRPr="00696B5D">
        <w:rPr>
          <w:rFonts w:cstheme="minorHAnsi"/>
          <w:color w:val="000000"/>
        </w:rPr>
        <w:t>iflas kararı verilmesi, konkordato başvurusu yapılması üzerine mahkemece yasal takiplerin ihtiyati tedbir yolu ile durdurulmasına kararı verilmesi veya kayyum atanması,</w:t>
      </w:r>
    </w:p>
    <w:p w14:paraId="3F0D18B2" w14:textId="5F104B79"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Sözleşme konusu Hizmetler’le ilgili olarak kusuru veya ihmaliyle TTG’ye ya da üçüncü kişilere, suç teşkil edebilecek fiiller de dahil olmak üzere, telafisi güç veya ağır bir zarar vermesi veya TTG’nin ticari itibarını ve genel imajını zedeleyebilecek fiil ve davranışlarda bulunması,</w:t>
      </w:r>
    </w:p>
    <w:p w14:paraId="7479386E"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Sözleşme konusu Hizmetler’le ilgili olarak mahkemece veya idari mercilerce verilecek karar ve emirlere uymaması ve/veya bu halde TTG’nin herhangi bir ödeme yapmak durumunda kalması hallerinde,</w:t>
      </w:r>
    </w:p>
    <w:p w14:paraId="6976D702"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Herhangi bir kusuru aranmaksızın idari/resmi merciler, düzenleyici kurumlar ve mahkemeler dâhil diğer yetkili makamların, işbu Sözleşme/İş Emri sona ermesini gerektiren herhangi bir düzenlemesi ve/veya kararı ve/veya uygulaması,</w:t>
      </w:r>
    </w:p>
    <w:p w14:paraId="0F235C18"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 xml:space="preserve">TTG’nin yazılı iznini almadan; Sözleşme’yi kısmen veya tamamen devretmesi veya Sözleşme’den doğan para alacağı dahil ancak bununla sınırlı olmamak üzere TTG’den olan herhangi bir alacağını temlik etmesi, </w:t>
      </w:r>
    </w:p>
    <w:p w14:paraId="5A90BB91"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Başka bir şirket ile birleşmesi, devralınması, hisselerini kısmen veya tamamen devretmesi, bölünmesi, tür değiştirmesi,</w:t>
      </w:r>
    </w:p>
    <w:p w14:paraId="7D788203"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Kanundan kaynaklanan mücbir sebep hallerinin aralıksız olarak 30 (otuz) günden fazla sürmesi,</w:t>
      </w:r>
    </w:p>
    <w:p w14:paraId="1320B337" w14:textId="77777777" w:rsidR="00E15493" w:rsidRPr="00696B5D" w:rsidRDefault="00E15493" w:rsidP="00696B5D">
      <w:pPr>
        <w:numPr>
          <w:ilvl w:val="0"/>
          <w:numId w:val="2"/>
        </w:numPr>
        <w:spacing w:after="240" w:line="276" w:lineRule="auto"/>
        <w:ind w:left="2131"/>
        <w:jc w:val="both"/>
        <w:rPr>
          <w:rFonts w:cstheme="minorHAnsi"/>
          <w:color w:val="000000"/>
        </w:rPr>
      </w:pPr>
      <w:r w:rsidRPr="00696B5D">
        <w:rPr>
          <w:rFonts w:cstheme="minorHAnsi"/>
          <w:color w:val="000000"/>
        </w:rPr>
        <w:t>Sözleşme kapsamında aleyhine uygulanan cezaların Sözleşme’nin ve/veya ilgili İş Emirleri’nin işbu Sözleşme’nin ilgili maddelerinde belirtilen oranlara ulaşması,</w:t>
      </w:r>
    </w:p>
    <w:p w14:paraId="6887FDD9" w14:textId="77777777" w:rsidR="00E15493" w:rsidRPr="00696B5D" w:rsidRDefault="00E15493" w:rsidP="00696B5D">
      <w:pPr>
        <w:numPr>
          <w:ilvl w:val="0"/>
          <w:numId w:val="2"/>
        </w:numPr>
        <w:spacing w:after="240" w:line="276" w:lineRule="auto"/>
        <w:ind w:left="2131" w:hanging="703"/>
        <w:contextualSpacing/>
        <w:jc w:val="both"/>
        <w:rPr>
          <w:rFonts w:cstheme="minorHAnsi"/>
          <w:color w:val="000000"/>
        </w:rPr>
      </w:pPr>
      <w:r w:rsidRPr="00696B5D">
        <w:rPr>
          <w:rFonts w:cstheme="minorHAnsi"/>
          <w:color w:val="000000"/>
        </w:rPr>
        <w:lastRenderedPageBreak/>
        <w:t>Türkiye Cumhuriyeti Devleti tarafından terör örgütü olarak kabul edilen yapılarla bağlantılı olduğu ya da bunlara destek sağladığı yönünde kuvvetli şüphelerin bulunması,</w:t>
      </w:r>
    </w:p>
    <w:p w14:paraId="442268DD" w14:textId="44DE53E3" w:rsidR="00E15493" w:rsidRPr="00696B5D" w:rsidRDefault="00E15493" w:rsidP="00696B5D">
      <w:pPr>
        <w:numPr>
          <w:ilvl w:val="0"/>
          <w:numId w:val="2"/>
        </w:numPr>
        <w:spacing w:after="240" w:line="276" w:lineRule="auto"/>
        <w:ind w:left="2131" w:hanging="703"/>
        <w:contextualSpacing/>
        <w:jc w:val="both"/>
        <w:rPr>
          <w:rFonts w:cstheme="minorHAnsi"/>
          <w:color w:val="000000"/>
        </w:rPr>
      </w:pPr>
      <w:r w:rsidRPr="00696B5D">
        <w:rPr>
          <w:rFonts w:cstheme="minorHAnsi"/>
          <w:kern w:val="32"/>
        </w:rPr>
        <w:t>Sözleşme’nin herhangi bir hükmünde yer alan TTG’ye derhal fesih hakkı veren bir durumun meydana gelmesi,</w:t>
      </w:r>
    </w:p>
    <w:p w14:paraId="2044FB57" w14:textId="77777777" w:rsidR="00696B5D" w:rsidRPr="00696B5D" w:rsidRDefault="00696B5D" w:rsidP="00696B5D">
      <w:pPr>
        <w:spacing w:after="240" w:line="276" w:lineRule="auto"/>
        <w:ind w:left="2131"/>
        <w:contextualSpacing/>
        <w:jc w:val="both"/>
        <w:rPr>
          <w:rFonts w:cstheme="minorHAnsi"/>
          <w:color w:val="000000"/>
        </w:rPr>
      </w:pPr>
    </w:p>
    <w:p w14:paraId="771DC9DD" w14:textId="2F96A593" w:rsidR="00E15493" w:rsidRPr="00696B5D" w:rsidRDefault="00E15493" w:rsidP="00696B5D">
      <w:pPr>
        <w:spacing w:before="240" w:after="240" w:line="276" w:lineRule="auto"/>
        <w:jc w:val="both"/>
        <w:rPr>
          <w:rFonts w:cstheme="minorHAnsi"/>
          <w:color w:val="000000"/>
        </w:rPr>
      </w:pPr>
      <w:r w:rsidRPr="00696B5D">
        <w:rPr>
          <w:rFonts w:cstheme="minorHAnsi"/>
        </w:rPr>
        <w:t>hallerinden herhangi birinin gerçekleşmesi durumunda; TTG herhangi bir süre verilmesine gerek olmaksızın, Sözleşme/ Proje’nin Fazlar halinde olması durumunda Fazlar/ ilgili Satınalma Siparişi tek taraflı olarak ve herhangi bir tazminat ödeme yükümlülüğü altına girilmeksizin kısmen ya da tamamen derhal haklı nedenle feshedilebilecektir.</w:t>
      </w:r>
      <w:r w:rsidRPr="00696B5D">
        <w:rPr>
          <w:rFonts w:cstheme="minorHAnsi"/>
          <w:color w:val="000000"/>
        </w:rPr>
        <w:t xml:space="preserve"> Bu halde işbu Sözleşme’nin 16. maddesi uygulanacaktır.</w:t>
      </w:r>
    </w:p>
    <w:p w14:paraId="4CD60C7C" w14:textId="51C242E8" w:rsidR="00E15493" w:rsidRPr="00696B5D" w:rsidRDefault="00E15493" w:rsidP="00696B5D">
      <w:pPr>
        <w:pStyle w:val="ListParagraph"/>
        <w:numPr>
          <w:ilvl w:val="1"/>
          <w:numId w:val="3"/>
        </w:numPr>
        <w:tabs>
          <w:tab w:val="left" w:pos="567"/>
        </w:tabs>
        <w:spacing w:before="240" w:after="240" w:line="276" w:lineRule="auto"/>
        <w:contextualSpacing/>
        <w:jc w:val="both"/>
        <w:rPr>
          <w:rFonts w:asciiTheme="minorHAnsi" w:eastAsia="Calibri" w:hAnsiTheme="minorHAnsi" w:cstheme="minorHAnsi"/>
          <w:sz w:val="22"/>
          <w:szCs w:val="22"/>
        </w:rPr>
      </w:pPr>
      <w:r w:rsidRPr="00696B5D">
        <w:rPr>
          <w:rFonts w:asciiTheme="minorHAnsi" w:eastAsia="Calibri" w:hAnsiTheme="minorHAnsi" w:cstheme="minorHAnsi"/>
          <w:sz w:val="22"/>
          <w:szCs w:val="22"/>
        </w:rPr>
        <w:t>TTG, Sözleşme süresi içerisinde herhangi bir zamanda Yüklenici’ye 60 (altmış) gün önceden yazılı bildirimle bu Sözleşme’yi/Proje’nin Fazlar halinde olması durumunda Fazlar’ı/ ilgili Satınalma Siparişi’ni tek taraflı olarak ve herhangi bir tazminat ödeme yükümlülüğü altına girmeksizin kısmen ya da tamamen feshedebilir, bu takdirde 16. madde hükmü uygulanacaktır.</w:t>
      </w:r>
    </w:p>
    <w:p w14:paraId="397C4DD6" w14:textId="080D3B25" w:rsidR="0091752B" w:rsidRDefault="0091752B" w:rsidP="00696B5D">
      <w:pPr>
        <w:pStyle w:val="ListParagraph"/>
        <w:tabs>
          <w:tab w:val="left" w:pos="567"/>
        </w:tabs>
        <w:spacing w:before="240" w:after="240" w:line="276" w:lineRule="auto"/>
        <w:ind w:left="716"/>
        <w:contextualSpacing/>
        <w:jc w:val="both"/>
        <w:rPr>
          <w:rFonts w:asciiTheme="minorHAnsi" w:eastAsia="Calibri" w:hAnsiTheme="minorHAnsi" w:cstheme="minorHAnsi"/>
          <w:sz w:val="22"/>
          <w:szCs w:val="22"/>
        </w:rPr>
      </w:pPr>
    </w:p>
    <w:p w14:paraId="7EA2B854" w14:textId="77777777" w:rsidR="00696B5D" w:rsidRPr="00696B5D" w:rsidRDefault="00696B5D" w:rsidP="00696B5D">
      <w:pPr>
        <w:pStyle w:val="ListParagraph"/>
        <w:tabs>
          <w:tab w:val="left" w:pos="567"/>
        </w:tabs>
        <w:spacing w:before="240" w:after="240" w:line="276" w:lineRule="auto"/>
        <w:ind w:left="716"/>
        <w:contextualSpacing/>
        <w:jc w:val="both"/>
        <w:rPr>
          <w:rFonts w:asciiTheme="minorHAnsi" w:eastAsia="Calibri" w:hAnsiTheme="minorHAnsi" w:cstheme="minorHAnsi"/>
          <w:sz w:val="22"/>
          <w:szCs w:val="22"/>
        </w:rPr>
      </w:pPr>
    </w:p>
    <w:p w14:paraId="4AA9CBC9" w14:textId="77777777" w:rsidR="00E15493" w:rsidRPr="00696B5D" w:rsidRDefault="00E15493" w:rsidP="00696B5D">
      <w:pPr>
        <w:pStyle w:val="ListParagraph"/>
        <w:numPr>
          <w:ilvl w:val="0"/>
          <w:numId w:val="3"/>
        </w:numPr>
        <w:spacing w:after="240" w:line="276" w:lineRule="auto"/>
        <w:contextualSpacing/>
        <w:jc w:val="both"/>
        <w:rPr>
          <w:rFonts w:asciiTheme="minorHAnsi" w:hAnsiTheme="minorHAnsi" w:cstheme="minorHAnsi"/>
          <w:color w:val="000000"/>
          <w:sz w:val="22"/>
          <w:szCs w:val="22"/>
        </w:rPr>
      </w:pPr>
      <w:r w:rsidRPr="00696B5D">
        <w:rPr>
          <w:rFonts w:asciiTheme="minorHAnsi" w:eastAsia="Calibri" w:hAnsiTheme="minorHAnsi" w:cstheme="minorHAnsi"/>
          <w:b/>
          <w:sz w:val="22"/>
          <w:szCs w:val="22"/>
        </w:rPr>
        <w:t xml:space="preserve">    SONA ERME VE FESHİN SONUÇLARI</w:t>
      </w:r>
    </w:p>
    <w:p w14:paraId="6EFBB695" w14:textId="77777777" w:rsidR="00E15493" w:rsidRPr="00696B5D" w:rsidRDefault="00E15493" w:rsidP="00696B5D">
      <w:pPr>
        <w:pStyle w:val="ListParagraph"/>
        <w:spacing w:after="240" w:line="276" w:lineRule="auto"/>
        <w:ind w:left="1418"/>
        <w:jc w:val="both"/>
        <w:rPr>
          <w:rFonts w:asciiTheme="minorHAnsi" w:hAnsiTheme="minorHAnsi" w:cstheme="minorHAnsi"/>
          <w:color w:val="000000"/>
          <w:sz w:val="22"/>
          <w:szCs w:val="22"/>
        </w:rPr>
      </w:pPr>
    </w:p>
    <w:p w14:paraId="499866CB" w14:textId="5F60A788" w:rsidR="00E15493" w:rsidRPr="00696B5D" w:rsidRDefault="00E15493" w:rsidP="00696B5D">
      <w:pPr>
        <w:pStyle w:val="ListParagraph"/>
        <w:numPr>
          <w:ilvl w:val="1"/>
          <w:numId w:val="3"/>
        </w:numPr>
        <w:tabs>
          <w:tab w:val="left" w:pos="426"/>
        </w:tabs>
        <w:spacing w:after="240" w:line="276" w:lineRule="auto"/>
        <w:contextualSpacing/>
        <w:jc w:val="both"/>
        <w:rPr>
          <w:rFonts w:asciiTheme="minorHAnsi" w:hAnsiTheme="minorHAnsi" w:cstheme="minorHAnsi"/>
          <w:color w:val="000000"/>
          <w:sz w:val="22"/>
          <w:szCs w:val="22"/>
        </w:rPr>
      </w:pPr>
      <w:r w:rsidRPr="00696B5D">
        <w:rPr>
          <w:rFonts w:asciiTheme="minorHAnsi" w:eastAsia="Calibri" w:hAnsiTheme="minorHAnsi" w:cstheme="minorHAnsi"/>
          <w:sz w:val="22"/>
          <w:szCs w:val="22"/>
        </w:rPr>
        <w:t xml:space="preserve"> TTG’nin Sözleşme’den ve </w:t>
      </w:r>
      <w:r w:rsidRPr="00696B5D">
        <w:rPr>
          <w:rFonts w:asciiTheme="minorHAnsi" w:hAnsiTheme="minorHAnsi" w:cstheme="minorHAnsi"/>
          <w:sz w:val="22"/>
          <w:szCs w:val="22"/>
        </w:rPr>
        <w:t>Uygulanacak Yasalar’dan</w:t>
      </w:r>
      <w:r w:rsidRPr="00696B5D">
        <w:rPr>
          <w:rFonts w:asciiTheme="minorHAnsi" w:eastAsia="Calibri" w:hAnsiTheme="minorHAnsi" w:cstheme="minorHAnsi"/>
          <w:sz w:val="22"/>
          <w:szCs w:val="22"/>
        </w:rPr>
        <w:t xml:space="preserve"> kaynaklanan hakları saklı kalmak kaydıyla, Sözleşme’nin </w:t>
      </w:r>
      <w:r w:rsidRPr="00696B5D">
        <w:rPr>
          <w:rFonts w:asciiTheme="minorHAnsi" w:hAnsiTheme="minorHAnsi" w:cstheme="minorHAnsi"/>
          <w:sz w:val="22"/>
          <w:szCs w:val="22"/>
          <w:lang w:val="en-US"/>
        </w:rPr>
        <w:t>ve/veya Satınalma Siparişleri’nin ve/veya Proje/İş Fazlar’dan oluşmakta ise ilgili Faz’ın</w:t>
      </w:r>
      <w:r w:rsidRPr="00696B5D">
        <w:rPr>
          <w:rFonts w:asciiTheme="minorHAnsi" w:eastAsia="Calibri" w:hAnsiTheme="minorHAnsi" w:cstheme="minorHAnsi"/>
          <w:sz w:val="22"/>
          <w:szCs w:val="22"/>
        </w:rPr>
        <w:t xml:space="preserve">; 15.1. ve 15.2. madde hükümleri çerçevesinde fesih edilmesi halinde </w:t>
      </w:r>
      <w:r w:rsidRPr="00696B5D">
        <w:rPr>
          <w:rFonts w:asciiTheme="minorHAnsi" w:hAnsiTheme="minorHAnsi" w:cstheme="minorHAnsi"/>
          <w:sz w:val="22"/>
          <w:szCs w:val="22"/>
          <w:lang w:val="en-US"/>
        </w:rPr>
        <w:t>TTG teminatın tamamını gelir kaydetme veya Yüklenici’den Sözleşme’nin ve/veya İş Emirleri’nin ve/veya Satınalma Siparişleri’nin ve/veya Proje/İş Fazlar’dan oluşmakta ise ilgili Faz’ın %10’u oranında bir ceza talep etme hakkına sahiptir. Gelir kaydedilen teminat veya cezalar, Yüklenici’nin borcuna mahsup edilmez. Bu madde, 15.2. (b), 15.2.(e), 15.2.(g), 15.2.(h) ve 15.2.(j)    maddeleri çerçevesinde yapılan fesih hallerinde uygulanmaz.</w:t>
      </w:r>
    </w:p>
    <w:p w14:paraId="76AC4C8A" w14:textId="77777777" w:rsidR="00E15493" w:rsidRPr="00696B5D" w:rsidRDefault="00E15493" w:rsidP="00696B5D">
      <w:pPr>
        <w:pStyle w:val="ListParagraph"/>
        <w:numPr>
          <w:ilvl w:val="1"/>
          <w:numId w:val="3"/>
        </w:numPr>
        <w:tabs>
          <w:tab w:val="left" w:pos="426"/>
        </w:tabs>
        <w:spacing w:before="240" w:after="240" w:line="276" w:lineRule="auto"/>
        <w:jc w:val="both"/>
        <w:rPr>
          <w:rFonts w:asciiTheme="minorHAnsi" w:hAnsiTheme="minorHAnsi" w:cstheme="minorHAnsi"/>
          <w:color w:val="000000"/>
          <w:sz w:val="22"/>
          <w:szCs w:val="22"/>
        </w:rPr>
      </w:pPr>
      <w:r w:rsidRPr="00696B5D">
        <w:rPr>
          <w:rFonts w:asciiTheme="minorHAnsi" w:hAnsiTheme="minorHAnsi" w:cstheme="minorHAnsi"/>
          <w:sz w:val="22"/>
          <w:szCs w:val="22"/>
        </w:rPr>
        <w:t>Yüklenici’den olan TTG alacakları ve varsa gecikme cezası ile TTG’nin menfi/müspet zararlarından oluşan tüm alacakları öncelikle varsa Yüklenici’nin alacaklarından, olmaması veya yetersiz kalması halinde Sözleşme ve/veya İş Emirleri ve/veya Satınalma Siparişleri kapsamında alınan teminattan ve/veya Mahsup Yöntemi ile ve/veya Yüklenici’den ayrıca tahsil edilir.</w:t>
      </w:r>
    </w:p>
    <w:p w14:paraId="4B013F52" w14:textId="3C3B4F02" w:rsidR="00E15493" w:rsidRPr="00696B5D" w:rsidRDefault="00E15493" w:rsidP="00696B5D">
      <w:pPr>
        <w:pStyle w:val="ListParagraph"/>
        <w:numPr>
          <w:ilvl w:val="1"/>
          <w:numId w:val="3"/>
        </w:numPr>
        <w:tabs>
          <w:tab w:val="left" w:pos="426"/>
        </w:tabs>
        <w:spacing w:after="240" w:line="276" w:lineRule="auto"/>
        <w:contextualSpacing/>
        <w:jc w:val="both"/>
        <w:rPr>
          <w:rFonts w:asciiTheme="minorHAnsi" w:hAnsiTheme="minorHAnsi" w:cstheme="minorHAnsi"/>
          <w:color w:val="000000"/>
          <w:sz w:val="22"/>
          <w:szCs w:val="22"/>
        </w:rPr>
      </w:pPr>
      <w:r w:rsidRPr="00696B5D">
        <w:rPr>
          <w:rFonts w:asciiTheme="minorHAnsi" w:eastAsia="Calibri" w:hAnsiTheme="minorHAnsi" w:cstheme="minorHAnsi"/>
          <w:sz w:val="22"/>
          <w:szCs w:val="22"/>
        </w:rPr>
        <w:t xml:space="preserve"> İşbu Sözleşme’nin </w:t>
      </w:r>
      <w:r w:rsidRPr="00696B5D">
        <w:rPr>
          <w:rFonts w:asciiTheme="minorHAnsi" w:hAnsiTheme="minorHAnsi" w:cstheme="minorHAnsi"/>
          <w:sz w:val="22"/>
          <w:szCs w:val="22"/>
          <w:lang w:val="en-US"/>
        </w:rPr>
        <w:t>ve/veya Satınalma Siparişleri’nin ve/veya Proje/İş Fazlar’dan oluşmakta ise ilgili Faz’ın</w:t>
      </w:r>
      <w:r w:rsidRPr="00696B5D">
        <w:rPr>
          <w:rFonts w:asciiTheme="minorHAnsi" w:eastAsia="Calibri" w:hAnsiTheme="minorHAnsi" w:cstheme="minorHAnsi"/>
          <w:sz w:val="22"/>
          <w:szCs w:val="22"/>
        </w:rPr>
        <w:t xml:space="preserve"> 15. madde fıkraları çerçevesinde feshi hallerinde, bunlara ilişkin sonuçlar aşağıda belirtilmiştir: </w:t>
      </w:r>
    </w:p>
    <w:p w14:paraId="09E709EE" w14:textId="77777777" w:rsidR="00E15493" w:rsidRPr="00696B5D" w:rsidRDefault="00E15493" w:rsidP="00696B5D">
      <w:pPr>
        <w:pStyle w:val="ListParagraph"/>
        <w:tabs>
          <w:tab w:val="left" w:pos="426"/>
        </w:tabs>
        <w:spacing w:after="240" w:line="276" w:lineRule="auto"/>
        <w:ind w:left="284"/>
        <w:jc w:val="both"/>
        <w:rPr>
          <w:rFonts w:asciiTheme="minorHAnsi" w:hAnsiTheme="minorHAnsi" w:cstheme="minorHAnsi"/>
          <w:color w:val="000000"/>
          <w:sz w:val="22"/>
          <w:szCs w:val="22"/>
        </w:rPr>
      </w:pPr>
    </w:p>
    <w:p w14:paraId="7F749A77" w14:textId="4A52CE07" w:rsidR="00E15493" w:rsidRPr="00696B5D" w:rsidRDefault="00E15493" w:rsidP="00696B5D">
      <w:pPr>
        <w:pStyle w:val="ListParagraph"/>
        <w:numPr>
          <w:ilvl w:val="2"/>
          <w:numId w:val="3"/>
        </w:numPr>
        <w:spacing w:before="240" w:after="240" w:line="276" w:lineRule="auto"/>
        <w:jc w:val="both"/>
        <w:rPr>
          <w:rFonts w:asciiTheme="minorHAnsi" w:eastAsia="Calibri" w:hAnsiTheme="minorHAnsi" w:cstheme="minorHAnsi"/>
          <w:sz w:val="22"/>
          <w:szCs w:val="22"/>
        </w:rPr>
      </w:pPr>
      <w:r w:rsidRPr="00696B5D">
        <w:rPr>
          <w:rFonts w:asciiTheme="minorHAnsi" w:eastAsia="Calibri" w:hAnsiTheme="minorHAnsi" w:cstheme="minorHAnsi"/>
          <w:sz w:val="22"/>
          <w:szCs w:val="22"/>
          <w:lang w:val="en-US"/>
        </w:rPr>
        <w:t>İşbu Sözleşme’nin ve/veya Satın Alma Siparişleri’nin ve/veya Proje/İş Fazlar’dan oluşmakta ise ilgili Faz’ın TTG tarafından 15.1. ve 15.2. maddeleri gereğince fesih ve/veya Yüklenici’in haksız nedenle feshi halleri hariç olmak üzere;</w:t>
      </w:r>
    </w:p>
    <w:p w14:paraId="3756D179" w14:textId="77777777" w:rsidR="00E15493" w:rsidRPr="00696B5D" w:rsidRDefault="00E15493" w:rsidP="00696B5D">
      <w:pPr>
        <w:spacing w:before="240" w:after="240" w:line="276" w:lineRule="auto"/>
        <w:ind w:left="426"/>
        <w:jc w:val="both"/>
        <w:rPr>
          <w:rFonts w:eastAsia="Calibri" w:cstheme="minorHAnsi"/>
        </w:rPr>
      </w:pPr>
      <w:r w:rsidRPr="00696B5D">
        <w:rPr>
          <w:rFonts w:eastAsia="Calibri" w:cstheme="minorHAnsi"/>
          <w:b/>
        </w:rPr>
        <w:lastRenderedPageBreak/>
        <w:t>(i)</w:t>
      </w:r>
      <w:r w:rsidRPr="00696B5D">
        <w:rPr>
          <w:rFonts w:eastAsia="Calibri" w:cstheme="minorHAnsi"/>
        </w:rPr>
        <w:t xml:space="preserve"> </w:t>
      </w:r>
      <w:r w:rsidRPr="00696B5D">
        <w:rPr>
          <w:rFonts w:eastAsia="Calibri" w:cstheme="minorHAnsi"/>
        </w:rPr>
        <w:tab/>
        <w:t xml:space="preserve">Yüklenici tarafından TTG’ye sağlanan ve Kabul’ü gerçekleştirilen Hizmetler’in ücreti TTG tarafından </w:t>
      </w:r>
      <w:r w:rsidRPr="00696B5D">
        <w:rPr>
          <w:rFonts w:eastAsia="Calibri" w:cstheme="minorHAnsi"/>
          <w:lang w:val="en-US"/>
        </w:rPr>
        <w:t>TTG’nin Sözleşme uyarınca hak sahibi olduğu tutarlar dikkate alınarak</w:t>
      </w:r>
      <w:r w:rsidRPr="00696B5D">
        <w:rPr>
          <w:rFonts w:eastAsia="Calibri" w:cstheme="minorHAnsi"/>
        </w:rPr>
        <w:t xml:space="preserve"> Yüklenici’ye ödenecektir. </w:t>
      </w:r>
    </w:p>
    <w:p w14:paraId="18AEEDBE" w14:textId="65B6B543" w:rsidR="00E15493" w:rsidRPr="00696B5D" w:rsidRDefault="00E15493" w:rsidP="00696B5D">
      <w:pPr>
        <w:spacing w:before="240" w:after="240" w:line="276" w:lineRule="auto"/>
        <w:ind w:left="426"/>
        <w:jc w:val="both"/>
        <w:rPr>
          <w:rFonts w:eastAsia="Calibri" w:cstheme="minorHAnsi"/>
        </w:rPr>
      </w:pPr>
      <w:r w:rsidRPr="00696B5D">
        <w:rPr>
          <w:rFonts w:eastAsia="Calibri" w:cstheme="minorHAnsi"/>
          <w:b/>
        </w:rPr>
        <w:t>(ii)</w:t>
      </w:r>
      <w:r w:rsidRPr="00696B5D">
        <w:rPr>
          <w:rFonts w:eastAsia="Calibri" w:cstheme="minorHAnsi"/>
        </w:rPr>
        <w:tab/>
        <w:t xml:space="preserve">Yüklenici tarafından TTG’ye verilen ve Kabul’ü gerçekleştirilmemiş Hizmetler için ise işbu Sözleşme ve/veya Satınalma Siparişi ve bunların eklerinde yer alan hükümlerine göre Kabul işlemlerine devam edilecek olup, Kabul’ün yapılması durumunda, bahsekonu Kabul’ü yapılmış Hizmetler’in ücreti TTG tarafından </w:t>
      </w:r>
      <w:r w:rsidRPr="00696B5D">
        <w:rPr>
          <w:rFonts w:eastAsia="Calibri" w:cstheme="minorHAnsi"/>
          <w:lang w:val="en-US"/>
        </w:rPr>
        <w:t>TTG’nin Sözleşme uyarınca hak sahibi olduğu tutarlar dikkate alınarak</w:t>
      </w:r>
      <w:r w:rsidRPr="00696B5D">
        <w:rPr>
          <w:rFonts w:eastAsia="Calibri" w:cstheme="minorHAnsi"/>
        </w:rPr>
        <w:t xml:space="preserve"> Yüklenici’ye ödenecektir. </w:t>
      </w:r>
    </w:p>
    <w:p w14:paraId="09E36340" w14:textId="77777777" w:rsidR="00E15493" w:rsidRPr="00696B5D" w:rsidRDefault="00E15493" w:rsidP="00696B5D">
      <w:pPr>
        <w:tabs>
          <w:tab w:val="left" w:pos="851"/>
        </w:tabs>
        <w:spacing w:before="240" w:after="240" w:line="276" w:lineRule="auto"/>
        <w:ind w:left="426"/>
        <w:jc w:val="both"/>
        <w:rPr>
          <w:rFonts w:eastAsia="Calibri" w:cstheme="minorHAnsi"/>
        </w:rPr>
      </w:pPr>
      <w:r w:rsidRPr="00696B5D">
        <w:rPr>
          <w:rFonts w:eastAsia="Calibri" w:cstheme="minorHAnsi"/>
          <w:b/>
        </w:rPr>
        <w:t>(iii)</w:t>
      </w:r>
      <w:r w:rsidRPr="00696B5D">
        <w:rPr>
          <w:rFonts w:eastAsia="Calibri" w:cstheme="minorHAnsi"/>
        </w:rPr>
        <w:tab/>
        <w:t>TTG’ye verilmemiş Hizmetler’in ücretinin Yüklenici’ye ödenmiş olması halinde, Yüklenici TTG’ye sağlamadığı Hizmetler’in ücretini, ticari avans faizi ile birlikte TTG’ye geri ödeyecektir.</w:t>
      </w:r>
    </w:p>
    <w:p w14:paraId="73633DD4" w14:textId="2D54B990" w:rsidR="00E15493" w:rsidRPr="00696B5D" w:rsidRDefault="00E15493" w:rsidP="00696B5D">
      <w:pPr>
        <w:pStyle w:val="ListParagraph"/>
        <w:numPr>
          <w:ilvl w:val="2"/>
          <w:numId w:val="3"/>
        </w:numPr>
        <w:spacing w:before="240" w:after="240" w:line="276" w:lineRule="auto"/>
        <w:contextualSpacing/>
        <w:jc w:val="both"/>
        <w:rPr>
          <w:rFonts w:asciiTheme="minorHAnsi" w:eastAsia="Calibri" w:hAnsiTheme="minorHAnsi" w:cstheme="minorHAnsi"/>
          <w:sz w:val="22"/>
          <w:szCs w:val="22"/>
        </w:rPr>
      </w:pPr>
      <w:r w:rsidRPr="00696B5D">
        <w:rPr>
          <w:rFonts w:asciiTheme="minorHAnsi" w:eastAsia="Calibri" w:hAnsiTheme="minorHAnsi" w:cstheme="minorHAnsi"/>
          <w:sz w:val="22"/>
          <w:szCs w:val="22"/>
        </w:rPr>
        <w:t>İşbu Sözleşme’nin ve/veya Satınalma Siparişleri’nin ve/veya Proje/İş Fazlar’dan oluşmakta ise ilgili Faz’ın TTG tarafından 15.1. ve 15.2. maddeleri gereğince haklı nedenle feshi ve/veya Yüklenici’nin haksız nedenle feshi hallerinde;</w:t>
      </w:r>
    </w:p>
    <w:p w14:paraId="4147D4F8" w14:textId="77777777" w:rsidR="00E15493" w:rsidRPr="00696B5D" w:rsidRDefault="00E15493" w:rsidP="00696B5D">
      <w:pPr>
        <w:spacing w:before="240" w:after="240" w:line="276" w:lineRule="auto"/>
        <w:ind w:left="426"/>
        <w:contextualSpacing/>
        <w:jc w:val="both"/>
        <w:rPr>
          <w:rFonts w:eastAsia="Calibri" w:cstheme="minorHAnsi"/>
        </w:rPr>
      </w:pPr>
      <w:r w:rsidRPr="00696B5D">
        <w:rPr>
          <w:rFonts w:eastAsia="Calibri" w:cstheme="minorHAnsi"/>
          <w:b/>
        </w:rPr>
        <w:t>(i)</w:t>
      </w:r>
      <w:r w:rsidRPr="00696B5D">
        <w:rPr>
          <w:rFonts w:eastAsia="Calibri" w:cstheme="minorHAnsi"/>
        </w:rPr>
        <w:t xml:space="preserve"> Yüklenici tarafından TTG için ifa edilmiş ve Kabul’ü gerçekleştirilmiş Hizmetler’in ücreti, TTG tarafından </w:t>
      </w:r>
      <w:r w:rsidRPr="00696B5D">
        <w:rPr>
          <w:rFonts w:eastAsia="Calibri" w:cstheme="minorHAnsi"/>
          <w:lang w:val="en-US"/>
        </w:rPr>
        <w:t>TTG’nin Sözleşme uyarınca hak sahibi olduğu tutarlar dikkate alınarak</w:t>
      </w:r>
      <w:r w:rsidRPr="00696B5D">
        <w:rPr>
          <w:rFonts w:eastAsia="Calibri" w:cstheme="minorHAnsi"/>
        </w:rPr>
        <w:t xml:space="preserve"> Yüklenici’ye ödenecektir. </w:t>
      </w:r>
    </w:p>
    <w:p w14:paraId="7BC1F7BF" w14:textId="265F8435" w:rsidR="00E15493" w:rsidRPr="00696B5D" w:rsidRDefault="00E15493" w:rsidP="00696B5D">
      <w:pPr>
        <w:spacing w:after="240" w:line="276" w:lineRule="auto"/>
        <w:ind w:left="426"/>
        <w:jc w:val="both"/>
        <w:rPr>
          <w:rFonts w:cstheme="minorHAnsi"/>
        </w:rPr>
      </w:pPr>
      <w:r w:rsidRPr="00696B5D">
        <w:rPr>
          <w:rFonts w:eastAsia="Calibri" w:cstheme="minorHAnsi"/>
          <w:b/>
        </w:rPr>
        <w:t>(ii)</w:t>
      </w:r>
      <w:r w:rsidRPr="00696B5D">
        <w:rPr>
          <w:rFonts w:eastAsia="Calibri" w:cstheme="minorHAnsi"/>
        </w:rPr>
        <w:t xml:space="preserve"> TTG tamamen kendi insiyatifinde olarak, </w:t>
      </w:r>
      <w:r w:rsidRPr="00696B5D">
        <w:rPr>
          <w:rFonts w:eastAsia="Calibri" w:cstheme="minorHAnsi"/>
          <w:lang w:val="en-US"/>
        </w:rPr>
        <w:t>Yüklenici</w:t>
      </w:r>
      <w:r w:rsidRPr="00696B5D">
        <w:rPr>
          <w:rFonts w:eastAsia="Calibri" w:cstheme="minorHAnsi"/>
        </w:rPr>
        <w:t xml:space="preserve"> tarafından TTG için teslim edilmiş ancak Kabul’ü gerçekleştirilmemiş Hizmetler için Kabul prosedürlerine devam edebilir, Kabul’ün yapılması durumunda; TTG Kabul’ü yapılmış bahse konu Hizmetler’in ücretini TTG’nin Sözleşme v ve/veya Satınalma Siparişleri uyarınca hak sahibi olduğu tutarları dikkate alarak Yüklenici</w:t>
      </w:r>
      <w:r w:rsidRPr="00696B5D">
        <w:rPr>
          <w:rFonts w:eastAsia="Calibri" w:cstheme="minorHAnsi"/>
          <w:lang w:val="en-US"/>
        </w:rPr>
        <w:t>’ye</w:t>
      </w:r>
      <w:r w:rsidRPr="00696B5D">
        <w:rPr>
          <w:rFonts w:eastAsia="Calibri" w:cstheme="minorHAnsi"/>
        </w:rPr>
        <w:t xml:space="preserve"> ödeyebilir veya hizmeti durdurarak o ana kadar ödediği ücretin ticari avans faizi ile birlikte geri ödenmesini talep edebilir.</w:t>
      </w:r>
    </w:p>
    <w:p w14:paraId="5B4A496E" w14:textId="7273D145" w:rsidR="00E15493" w:rsidRPr="00696B5D" w:rsidRDefault="00E15493" w:rsidP="00696B5D">
      <w:pPr>
        <w:numPr>
          <w:ilvl w:val="1"/>
          <w:numId w:val="3"/>
        </w:numPr>
        <w:tabs>
          <w:tab w:val="left" w:pos="426"/>
        </w:tabs>
        <w:spacing w:after="240" w:line="276" w:lineRule="auto"/>
        <w:jc w:val="both"/>
        <w:rPr>
          <w:rFonts w:eastAsia="Calibri" w:cstheme="minorHAnsi"/>
        </w:rPr>
      </w:pPr>
      <w:r w:rsidRPr="00696B5D">
        <w:rPr>
          <w:rFonts w:eastAsia="Calibri" w:cstheme="minorHAnsi"/>
        </w:rPr>
        <w:t>Yüklenici, işbu maddede sayılanlar dışında TTG’den her ne nam altında olur ise olsun hiçbir hak, alacak, herhangi bir zarar talebinde bulunmayacaktır.</w:t>
      </w:r>
    </w:p>
    <w:p w14:paraId="4BEFE24B" w14:textId="77777777" w:rsidR="00E15493" w:rsidRPr="00696B5D" w:rsidRDefault="00E15493" w:rsidP="00696B5D">
      <w:pPr>
        <w:numPr>
          <w:ilvl w:val="1"/>
          <w:numId w:val="3"/>
        </w:numPr>
        <w:tabs>
          <w:tab w:val="left" w:pos="426"/>
        </w:tabs>
        <w:spacing w:after="240" w:line="276" w:lineRule="auto"/>
        <w:jc w:val="both"/>
        <w:rPr>
          <w:rFonts w:eastAsia="Calibri" w:cstheme="minorHAnsi"/>
        </w:rPr>
      </w:pPr>
      <w:r w:rsidRPr="00696B5D">
        <w:rPr>
          <w:rFonts w:eastAsia="Calibri" w:cstheme="minorHAnsi"/>
        </w:rPr>
        <w:t>Yüklenici işbu Sözleşme’nin ifası için varsa kendisine teslim edilen ekipmanları derhal tutanak mukabilinde TTG’ye bırakacaktır.</w:t>
      </w:r>
    </w:p>
    <w:p w14:paraId="5D250DE5" w14:textId="395FB641" w:rsidR="00E15493" w:rsidRPr="00696B5D" w:rsidRDefault="00E15493" w:rsidP="00696B5D">
      <w:pPr>
        <w:numPr>
          <w:ilvl w:val="1"/>
          <w:numId w:val="3"/>
        </w:numPr>
        <w:tabs>
          <w:tab w:val="left" w:pos="426"/>
        </w:tabs>
        <w:spacing w:after="240" w:line="276" w:lineRule="auto"/>
        <w:jc w:val="both"/>
        <w:rPr>
          <w:rFonts w:eastAsia="Calibri" w:cstheme="minorHAnsi"/>
        </w:rPr>
      </w:pPr>
      <w:r w:rsidRPr="00696B5D">
        <w:rPr>
          <w:rFonts w:eastAsia="Calibri" w:cstheme="minorHAnsi"/>
        </w:rPr>
        <w:t xml:space="preserve">Sözleşme’nin </w:t>
      </w:r>
      <w:r w:rsidRPr="00696B5D">
        <w:rPr>
          <w:rFonts w:cstheme="minorHAnsi"/>
          <w:lang w:val="en-US"/>
        </w:rPr>
        <w:t>ve/veya Satınalma Siparişleri’nin ve/veya Proje/İş Fazlar’dan oluşmakta ise ilgili Faz’ın</w:t>
      </w:r>
      <w:r w:rsidRPr="00696B5D">
        <w:rPr>
          <w:rFonts w:eastAsia="Calibri" w:cstheme="minorHAnsi"/>
        </w:rPr>
        <w:t xml:space="preserve"> sona ermesi veya feshi, bu Sözleşme’de sona erme veya fesih sonrasında dâhi geçerli olacakları açıkça düzenlenmiş olan ve/veya açıkça düzenlenmiş olmasa bile gereklilik halinde geçerli olmaya devam etmeleri gereken Yüklenici’nin Yükümlülükleri, </w:t>
      </w:r>
      <w:r w:rsidRPr="00696B5D">
        <w:rPr>
          <w:rFonts w:cstheme="minorHAnsi"/>
        </w:rPr>
        <w:t>Yüklenici</w:t>
      </w:r>
      <w:r w:rsidRPr="00696B5D">
        <w:rPr>
          <w:rFonts w:eastAsia="Calibri" w:cstheme="minorHAnsi"/>
        </w:rPr>
        <w:t xml:space="preserve"> Personeline ilişkin hükümler, Teminat Hükümleri Sona Erme ve Feshin Sonuçları, Fikri ve Sınai Mülkiyet Hakları, Kanuni Yükümlülükler, Gizlilik gibi hükümlerin geçerliliğini etkilemeyecektir.</w:t>
      </w:r>
    </w:p>
    <w:p w14:paraId="356881E6" w14:textId="77777777" w:rsidR="00DA38DE" w:rsidRPr="00696B5D" w:rsidRDefault="00DA38DE" w:rsidP="00696B5D">
      <w:pPr>
        <w:tabs>
          <w:tab w:val="left" w:pos="426"/>
        </w:tabs>
        <w:spacing w:after="0" w:line="276" w:lineRule="auto"/>
        <w:ind w:left="716"/>
        <w:jc w:val="both"/>
        <w:rPr>
          <w:rFonts w:eastAsia="Calibri" w:cstheme="minorHAnsi"/>
        </w:rPr>
      </w:pPr>
    </w:p>
    <w:p w14:paraId="7192FDE1" w14:textId="77777777" w:rsidR="00E15493" w:rsidRPr="00696B5D" w:rsidRDefault="00E15493" w:rsidP="00696B5D">
      <w:pPr>
        <w:pStyle w:val="ListParagraph"/>
        <w:numPr>
          <w:ilvl w:val="0"/>
          <w:numId w:val="3"/>
        </w:numPr>
        <w:spacing w:after="240" w:line="276" w:lineRule="auto"/>
        <w:contextualSpacing/>
        <w:jc w:val="both"/>
        <w:rPr>
          <w:rFonts w:asciiTheme="minorHAnsi" w:eastAsia="Calibri" w:hAnsiTheme="minorHAnsi" w:cstheme="minorHAnsi"/>
          <w:sz w:val="22"/>
          <w:szCs w:val="22"/>
          <w:lang w:val="en-US"/>
        </w:rPr>
      </w:pPr>
      <w:r w:rsidRPr="00696B5D">
        <w:rPr>
          <w:rFonts w:asciiTheme="minorHAnsi" w:eastAsia="Calibri" w:hAnsiTheme="minorHAnsi" w:cstheme="minorHAnsi"/>
          <w:b/>
          <w:sz w:val="22"/>
          <w:szCs w:val="22"/>
        </w:rPr>
        <w:t>GENEL HÜKÜMLER</w:t>
      </w:r>
    </w:p>
    <w:p w14:paraId="2F228BF6" w14:textId="77777777" w:rsidR="00E15493" w:rsidRPr="00696B5D" w:rsidRDefault="00E15493" w:rsidP="00696B5D">
      <w:pPr>
        <w:pStyle w:val="ListParagraph"/>
        <w:spacing w:line="276" w:lineRule="auto"/>
        <w:ind w:left="480"/>
        <w:jc w:val="both"/>
        <w:rPr>
          <w:rFonts w:asciiTheme="minorHAnsi" w:eastAsia="Calibri" w:hAnsiTheme="minorHAnsi" w:cstheme="minorHAnsi"/>
          <w:sz w:val="22"/>
          <w:szCs w:val="22"/>
          <w:lang w:val="en-US"/>
        </w:rPr>
      </w:pPr>
    </w:p>
    <w:p w14:paraId="5B603382" w14:textId="77777777" w:rsidR="00E15493" w:rsidRPr="00696B5D" w:rsidRDefault="00E15493" w:rsidP="00696B5D">
      <w:pPr>
        <w:pStyle w:val="ListParagraph"/>
        <w:numPr>
          <w:ilvl w:val="1"/>
          <w:numId w:val="3"/>
        </w:numPr>
        <w:tabs>
          <w:tab w:val="left" w:pos="709"/>
        </w:tabs>
        <w:spacing w:before="240" w:after="240" w:line="276" w:lineRule="auto"/>
        <w:contextualSpacing/>
        <w:jc w:val="both"/>
        <w:rPr>
          <w:rFonts w:asciiTheme="minorHAnsi" w:eastAsia="Calibri" w:hAnsiTheme="minorHAnsi" w:cstheme="minorHAnsi"/>
          <w:sz w:val="22"/>
          <w:szCs w:val="22"/>
          <w:lang w:val="en-US"/>
        </w:rPr>
      </w:pPr>
      <w:r w:rsidRPr="00696B5D">
        <w:rPr>
          <w:rFonts w:asciiTheme="minorHAnsi" w:eastAsia="Calibri" w:hAnsiTheme="minorHAnsi" w:cstheme="minorHAnsi"/>
          <w:b/>
          <w:bCs/>
          <w:sz w:val="22"/>
          <w:szCs w:val="22"/>
          <w:lang w:val="en-US"/>
        </w:rPr>
        <w:lastRenderedPageBreak/>
        <w:t xml:space="preserve">Kanuni </w:t>
      </w:r>
      <w:r w:rsidRPr="00696B5D">
        <w:rPr>
          <w:rFonts w:asciiTheme="minorHAnsi" w:eastAsia="Calibri" w:hAnsiTheme="minorHAnsi" w:cstheme="minorHAnsi"/>
          <w:b/>
          <w:sz w:val="22"/>
          <w:szCs w:val="22"/>
          <w:lang w:val="en-US"/>
        </w:rPr>
        <w:t>Yükümlülükler</w:t>
      </w:r>
    </w:p>
    <w:p w14:paraId="14A4E596" w14:textId="77777777" w:rsidR="00E15493" w:rsidRPr="00696B5D" w:rsidRDefault="00E15493" w:rsidP="00696B5D">
      <w:pPr>
        <w:pStyle w:val="ListParagraph"/>
        <w:spacing w:before="240" w:line="276" w:lineRule="auto"/>
        <w:ind w:left="0"/>
        <w:jc w:val="both"/>
        <w:rPr>
          <w:rFonts w:asciiTheme="minorHAnsi" w:eastAsia="Calibri" w:hAnsiTheme="minorHAnsi" w:cstheme="minorHAnsi"/>
          <w:sz w:val="22"/>
          <w:szCs w:val="22"/>
          <w:lang w:val="en-US"/>
        </w:rPr>
      </w:pPr>
    </w:p>
    <w:p w14:paraId="1508596D" w14:textId="524EA391" w:rsidR="00E15493" w:rsidRPr="00696B5D" w:rsidRDefault="00E15493" w:rsidP="00696B5D">
      <w:pPr>
        <w:pStyle w:val="ListParagraph"/>
        <w:numPr>
          <w:ilvl w:val="2"/>
          <w:numId w:val="3"/>
        </w:numPr>
        <w:tabs>
          <w:tab w:val="left" w:pos="1134"/>
        </w:tabs>
        <w:spacing w:before="240" w:after="240" w:line="276" w:lineRule="auto"/>
        <w:ind w:left="993"/>
        <w:contextualSpacing/>
        <w:jc w:val="both"/>
        <w:rPr>
          <w:rFonts w:asciiTheme="minorHAnsi" w:eastAsia="Calibri" w:hAnsiTheme="minorHAnsi" w:cstheme="minorHAnsi"/>
          <w:sz w:val="22"/>
          <w:szCs w:val="22"/>
          <w:lang w:val="en-US"/>
        </w:rPr>
      </w:pPr>
      <w:r w:rsidRPr="00696B5D">
        <w:rPr>
          <w:rFonts w:asciiTheme="minorHAnsi" w:eastAsia="Calibri" w:hAnsiTheme="minorHAnsi" w:cstheme="minorHAnsi"/>
          <w:sz w:val="22"/>
          <w:szCs w:val="22"/>
          <w:lang w:val="en-US"/>
        </w:rPr>
        <w:t xml:space="preserve">Taraflar Türkiye Cumhuriyeti’nin ilgili Hizmetler ile </w:t>
      </w:r>
      <w:r w:rsidR="00E136C3" w:rsidRPr="00696B5D">
        <w:rPr>
          <w:rFonts w:asciiTheme="minorHAnsi" w:eastAsia="Calibri" w:hAnsiTheme="minorHAnsi" w:cstheme="minorHAnsi"/>
          <w:sz w:val="22"/>
          <w:szCs w:val="22"/>
          <w:lang w:val="en-US"/>
        </w:rPr>
        <w:t>Uygulanacak Yasalar’a</w:t>
      </w:r>
      <w:r w:rsidRPr="00696B5D">
        <w:rPr>
          <w:rFonts w:asciiTheme="minorHAnsi" w:eastAsia="Calibri" w:hAnsiTheme="minorHAnsi" w:cstheme="minorHAnsi"/>
          <w:sz w:val="22"/>
          <w:szCs w:val="22"/>
          <w:lang w:val="en-US"/>
        </w:rPr>
        <w:t xml:space="preserve"> riayet edecektir. Taraflar her birinin sorumlu olduğu Hizmetler bakımından tüm bildirimlerde bulunacak ve tüm ücret ve diğer masrafları ödeyecektir.</w:t>
      </w:r>
    </w:p>
    <w:p w14:paraId="7C5B6B55" w14:textId="77777777" w:rsidR="00E15493" w:rsidRPr="00696B5D" w:rsidRDefault="00E15493" w:rsidP="00696B5D">
      <w:pPr>
        <w:pStyle w:val="ListParagraph"/>
        <w:numPr>
          <w:ilvl w:val="2"/>
          <w:numId w:val="3"/>
        </w:numPr>
        <w:tabs>
          <w:tab w:val="left" w:pos="1134"/>
        </w:tabs>
        <w:spacing w:before="240" w:after="240" w:line="276" w:lineRule="auto"/>
        <w:ind w:left="993"/>
        <w:contextualSpacing/>
        <w:jc w:val="both"/>
        <w:rPr>
          <w:rFonts w:asciiTheme="minorHAnsi" w:eastAsia="Calibri" w:hAnsiTheme="minorHAnsi" w:cstheme="minorHAnsi"/>
          <w:sz w:val="22"/>
          <w:szCs w:val="22"/>
          <w:lang w:val="en-US"/>
        </w:rPr>
      </w:pPr>
      <w:r w:rsidRPr="00696B5D">
        <w:rPr>
          <w:rFonts w:asciiTheme="minorHAnsi" w:eastAsia="Calibri" w:hAnsiTheme="minorHAnsi" w:cstheme="minorHAnsi"/>
          <w:sz w:val="22"/>
          <w:szCs w:val="22"/>
          <w:lang w:val="en-US"/>
        </w:rPr>
        <w:t>Taraflar’ın her biri ilgili mevzuatın kendisi tarafından ihlali sonucunda maruz kaldığı her türlü ceza ve bedellerden sorumlu olacaktır ve bu ihlalinin sonucu olarak diğer Taraf’ın maruz kalabileceği her türlü kayıp veya zarardan diğer Taraf’ı ari tutmayı ve tazmin etmeyi işbu Sözleşme ile kabul eder.</w:t>
      </w:r>
    </w:p>
    <w:p w14:paraId="5A3199AF" w14:textId="77777777" w:rsidR="00E15493" w:rsidRPr="00696B5D" w:rsidRDefault="00E15493" w:rsidP="00696B5D">
      <w:pPr>
        <w:pStyle w:val="ListParagraph"/>
        <w:tabs>
          <w:tab w:val="left" w:pos="1701"/>
        </w:tabs>
        <w:spacing w:before="240" w:after="240" w:line="276" w:lineRule="auto"/>
        <w:ind w:left="1418"/>
        <w:jc w:val="both"/>
        <w:rPr>
          <w:rFonts w:asciiTheme="minorHAnsi" w:eastAsia="Calibri" w:hAnsiTheme="minorHAnsi" w:cstheme="minorHAnsi"/>
          <w:sz w:val="22"/>
          <w:szCs w:val="22"/>
          <w:lang w:val="en-US"/>
        </w:rPr>
      </w:pPr>
    </w:p>
    <w:p w14:paraId="3BE1A784" w14:textId="77777777" w:rsidR="00E15493" w:rsidRPr="00696B5D" w:rsidRDefault="00E15493" w:rsidP="00696B5D">
      <w:pPr>
        <w:pStyle w:val="ListParagraph"/>
        <w:numPr>
          <w:ilvl w:val="1"/>
          <w:numId w:val="3"/>
        </w:numPr>
        <w:autoSpaceDE w:val="0"/>
        <w:autoSpaceDN w:val="0"/>
        <w:spacing w:before="240" w:after="240" w:line="276" w:lineRule="auto"/>
        <w:ind w:left="142" w:hanging="142"/>
        <w:contextualSpacing/>
        <w:jc w:val="both"/>
        <w:rPr>
          <w:rFonts w:asciiTheme="minorHAnsi" w:hAnsiTheme="minorHAnsi" w:cstheme="minorHAnsi"/>
          <w:b/>
          <w:sz w:val="22"/>
          <w:szCs w:val="22"/>
          <w:lang w:val="en-US"/>
        </w:rPr>
      </w:pPr>
      <w:r w:rsidRPr="00696B5D">
        <w:rPr>
          <w:rFonts w:asciiTheme="minorHAnsi" w:hAnsiTheme="minorHAnsi" w:cstheme="minorHAnsi"/>
          <w:b/>
          <w:sz w:val="22"/>
          <w:szCs w:val="22"/>
          <w:lang w:val="en-US"/>
        </w:rPr>
        <w:t>Gizlilik</w:t>
      </w:r>
    </w:p>
    <w:p w14:paraId="5AE43DBB" w14:textId="77777777" w:rsidR="00E15493"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Bir Taraf’ın kendisi, işçileri, temsilcileri veya danışmanlarınca diğer Taraf’a, temsilcilerine, danışmanlarına ve çalışanlarına açıklanan ya da sayılanlar tarafından işbu Sözleşme dolayısıyla diğer Taraf’a ilişkin olarak edinilen her türlü fikir, buluş, iş, metot, ilerleme ve patent, telif hakkı, marka, ticari sır ya da diğer yasal korumaya konu olan ya da olmayan her türlü yenilik ve Taraflar’ın arasındaki ticari ilişki esnasında öğrenecekleri yazılı veya sözlü tüm ticari, mali, teknik bilgiler, abonelik ve konuşma bilgileri bu madde kapsamında ticari sır ve gizli bilgidir (“Gizli Bilgi”).</w:t>
      </w:r>
    </w:p>
    <w:p w14:paraId="0121136B" w14:textId="77777777" w:rsidR="00E15493"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Taraflar’dan hiçbiri, diğer Taraf’tan aldığı Gizli Bilgiler’i kendi çalışanları ve Taraflar’ın bu Sözleşme ile ilgili olarak görevlendirdiği profesyonel kişiler hariç hiç kimseye diğer Taraf’ın ön yazılı izin ve onayını almadan vermeyecek veya ifşa etmeyecek, doğrudan ya da dolaylı olarak aralarındaki ticari ilişkinin amaçları dışında kullanmayacaktır.</w:t>
      </w:r>
    </w:p>
    <w:p w14:paraId="6CF2933C" w14:textId="77777777" w:rsidR="00E15493"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 xml:space="preserve">Ancak bu gizlilik kısıtlaması, bu Sözleşme ile ilgili müzakerelerin başlamasından önce zaten ve meşru olarak karşı Taraf’ın elinde bulunan bilgilere ve/veya zaten kamunun bilgisinde olan ya da ileride (bu madde hükümlerinin ihlâli dışında bir sebeple) kamuya ulaşan bilgilere ve/veya bu bilgileri ifşa hakkına sahip olan bir üçüncü şahıstan herhangi bir kısıtlamaya tâbi olmadan alınan bilgilere ve/veya herkesçe bilinen bilgilere uygulanmaz. </w:t>
      </w:r>
    </w:p>
    <w:p w14:paraId="410A6FD2" w14:textId="77777777" w:rsidR="00840F3E"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 xml:space="preserve">Taraflar’ın her biri, kendi çalışanlarının, danışmanlarının ve temsilcilerinin de bu madde hükümlerinden haberdar olmasını ve bu madde hüküm ve koşullarına uymakla yükümlü tutulmasını sağlayacaktır. </w:t>
      </w:r>
      <w:r w:rsidR="00E136C3" w:rsidRPr="00696B5D">
        <w:rPr>
          <w:rFonts w:cstheme="minorHAnsi"/>
        </w:rPr>
        <w:t>T</w:t>
      </w:r>
      <w:r w:rsidR="00F74F96" w:rsidRPr="00696B5D">
        <w:rPr>
          <w:rFonts w:cstheme="minorHAnsi"/>
        </w:rPr>
        <w:t>T MOBİL, TTNET, TÜRK TELEKOM’un</w:t>
      </w:r>
      <w:r w:rsidR="00E136C3" w:rsidRPr="00696B5D">
        <w:rPr>
          <w:rFonts w:cstheme="minorHAnsi"/>
        </w:rPr>
        <w:t xml:space="preserve"> kendi aralarında ve/veya bunların doğrudan veya dolaylı ortağı olan ve/veya işbu şirketlerin doğrudan veya dolaylı ortaklığının ve/veya kontrolünün bulunduğu şirketler ile işbu Sözleşme kapsamındaki bilgileri paylaşması gizlilik yükümlülüğüne aykırılık teşkil etmez.</w:t>
      </w:r>
    </w:p>
    <w:p w14:paraId="118924B4" w14:textId="7370DA1B" w:rsidR="00E15493"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Yüklenici’nin işbu Sözleşme kapsamındaki gizlilik taahhüdü, kendi yükümlülüğü saklı kalmak kaydı ile üçüncü şahısların fiilini de garanti ve taahhüt niteliğin</w:t>
      </w:r>
      <w:r w:rsidR="00E136C3" w:rsidRPr="00696B5D">
        <w:rPr>
          <w:rFonts w:cstheme="minorHAnsi"/>
        </w:rPr>
        <w:t>de</w:t>
      </w:r>
      <w:r w:rsidRPr="00696B5D">
        <w:rPr>
          <w:rFonts w:cstheme="minorHAnsi"/>
        </w:rPr>
        <w:t xml:space="preserve">dir. Yüklenici, kendisinin veya fiillerini garanti ve taahhüt ettiği üçüncü şahısların işbu </w:t>
      </w:r>
      <w:r w:rsidR="00E136C3" w:rsidRPr="00696B5D">
        <w:rPr>
          <w:rFonts w:cstheme="minorHAnsi"/>
        </w:rPr>
        <w:t xml:space="preserve">gizlilik </w:t>
      </w:r>
      <w:r w:rsidRPr="00696B5D">
        <w:rPr>
          <w:rFonts w:cstheme="minorHAnsi"/>
        </w:rPr>
        <w:t>madde</w:t>
      </w:r>
      <w:r w:rsidR="00E136C3" w:rsidRPr="00696B5D">
        <w:rPr>
          <w:rFonts w:cstheme="minorHAnsi"/>
        </w:rPr>
        <w:t>sine</w:t>
      </w:r>
      <w:r w:rsidRPr="00696B5D">
        <w:rPr>
          <w:rFonts w:cstheme="minorHAnsi"/>
        </w:rPr>
        <w:t xml:space="preserve"> aykırı davranışlarından müştereken ve müteselsilen sorumludur.</w:t>
      </w:r>
    </w:p>
    <w:p w14:paraId="59AC65FB" w14:textId="77777777" w:rsidR="00840F3E"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lastRenderedPageBreak/>
        <w:t xml:space="preserve">İşbu </w:t>
      </w:r>
      <w:r w:rsidR="00E136C3" w:rsidRPr="00696B5D">
        <w:rPr>
          <w:rFonts w:cstheme="minorHAnsi"/>
        </w:rPr>
        <w:t>Sözleşme</w:t>
      </w:r>
      <w:r w:rsidRPr="00696B5D">
        <w:rPr>
          <w:rFonts w:cstheme="minorHAnsi"/>
        </w:rPr>
        <w:t xml:space="preserve"> kapsamındaki gizlilik yükümlülükleri, Sözleşme’nin herhangi bir sebeple sona ermesi veya feshinden sonra da 15(onbeş) yıl daha devam edecek ve geçerli olacaktır.</w:t>
      </w:r>
    </w:p>
    <w:p w14:paraId="3AC2FFF2" w14:textId="79A2127E" w:rsidR="00E15493" w:rsidRPr="00696B5D" w:rsidRDefault="00E15493" w:rsidP="00696B5D">
      <w:pPr>
        <w:pStyle w:val="BodyText2"/>
        <w:numPr>
          <w:ilvl w:val="2"/>
          <w:numId w:val="3"/>
        </w:numPr>
        <w:spacing w:before="240" w:after="240" w:line="276" w:lineRule="auto"/>
        <w:jc w:val="both"/>
        <w:rPr>
          <w:rFonts w:cstheme="minorHAnsi"/>
        </w:rPr>
      </w:pPr>
      <w:r w:rsidRPr="00696B5D">
        <w:rPr>
          <w:rFonts w:cstheme="minorHAnsi"/>
        </w:rPr>
        <w:t>Yüklenici, TTG’nin Sistem, Bilgi ve Varlıkların Gizliliği, Bütünlüğü ve Erişimi ile ilgili standart görev sorumlulukları ve uzmanlık alanlarına ilave olarak azami hassasiyeti göstereceğini, bu konuda TTG’nin bilgi güvenliğine dair tabii olduğu Uygulanacak yasalar ve düzenlemelere uygun olarak işleri icraa edeceğini, ekte verilen Türk Telekom Grubu Üçüncü Taraf Güvenlik Politikası’nda belirtilen tüm kurallara uygun davranacağını ve politikanın ekinde verilen Bilgi Güvenliği Taahhütnamesini, TTG ile ilgili çalışan Personel’ine imzalatıp, TTG tarafından istenildiğinde göstermek üzere saklayacağını,  işleri gereğince elde ettikleri, kamuoyuna ve 3. şahıslara açıklanması uygun olmayan bilgileri başkalarıyla paylaşamayacağını, aksi halde Sözleşme’de yer alan cezaların ve/veya TTG’nin tabi olduğu mevzuat gereği TTG’ye uygulanabilecek cezai yaptırımların kendisine rücu edilebileceğini ve/veya Sözleşme’nin feshedilebileceğini ve/veya Yüklenici hakkında yasal işlem başlatılabileceğini peşinen beyan, kabul ve taahhüt eder.</w:t>
      </w:r>
    </w:p>
    <w:p w14:paraId="53933637" w14:textId="4B4837CF" w:rsidR="0091752B" w:rsidRPr="00696B5D" w:rsidRDefault="0091752B" w:rsidP="00696B5D">
      <w:pPr>
        <w:spacing w:after="0" w:line="276" w:lineRule="auto"/>
        <w:contextualSpacing/>
        <w:jc w:val="both"/>
        <w:rPr>
          <w:rFonts w:cstheme="minorHAnsi"/>
          <w:lang w:val="en-US"/>
        </w:rPr>
      </w:pPr>
    </w:p>
    <w:p w14:paraId="21F14F2C" w14:textId="77777777" w:rsidR="00E15493" w:rsidRPr="00696B5D" w:rsidRDefault="00E15493" w:rsidP="00696B5D">
      <w:pPr>
        <w:pStyle w:val="ListParagraph"/>
        <w:numPr>
          <w:ilvl w:val="1"/>
          <w:numId w:val="3"/>
        </w:numPr>
        <w:autoSpaceDE w:val="0"/>
        <w:autoSpaceDN w:val="0"/>
        <w:spacing w:before="240" w:after="240" w:line="276" w:lineRule="auto"/>
        <w:ind w:left="0" w:firstLine="0"/>
        <w:contextualSpacing/>
        <w:jc w:val="both"/>
        <w:rPr>
          <w:rFonts w:asciiTheme="minorHAnsi" w:hAnsiTheme="minorHAnsi" w:cstheme="minorHAnsi"/>
          <w:sz w:val="22"/>
          <w:szCs w:val="22"/>
          <w:lang w:val="en-US"/>
        </w:rPr>
      </w:pPr>
      <w:r w:rsidRPr="00696B5D">
        <w:rPr>
          <w:rFonts w:asciiTheme="minorHAnsi" w:hAnsiTheme="minorHAnsi" w:cstheme="minorHAnsi"/>
          <w:b/>
          <w:sz w:val="22"/>
          <w:szCs w:val="22"/>
          <w:lang w:val="en-US"/>
        </w:rPr>
        <w:t xml:space="preserve">Tebligat </w:t>
      </w:r>
    </w:p>
    <w:p w14:paraId="41771F0E" w14:textId="77777777" w:rsidR="00E15493" w:rsidRPr="00696B5D" w:rsidRDefault="00E15493" w:rsidP="00696B5D">
      <w:pPr>
        <w:pStyle w:val="ListParagraph"/>
        <w:autoSpaceDE w:val="0"/>
        <w:autoSpaceDN w:val="0"/>
        <w:spacing w:line="276" w:lineRule="auto"/>
        <w:ind w:left="0"/>
        <w:jc w:val="both"/>
        <w:rPr>
          <w:rFonts w:asciiTheme="minorHAnsi" w:hAnsiTheme="minorHAnsi" w:cstheme="minorHAnsi"/>
          <w:sz w:val="22"/>
          <w:szCs w:val="22"/>
          <w:lang w:val="en-US"/>
        </w:rPr>
      </w:pPr>
    </w:p>
    <w:p w14:paraId="11EF2E49" w14:textId="4BE5842A" w:rsidR="00E15493" w:rsidRPr="00696B5D" w:rsidRDefault="00AF348F" w:rsidP="00696B5D">
      <w:pPr>
        <w:pStyle w:val="ListParagraph"/>
        <w:numPr>
          <w:ilvl w:val="2"/>
          <w:numId w:val="3"/>
        </w:numPr>
        <w:tabs>
          <w:tab w:val="left" w:pos="142"/>
          <w:tab w:val="left" w:pos="426"/>
          <w:tab w:val="left" w:pos="1134"/>
        </w:tabs>
        <w:autoSpaceDE w:val="0"/>
        <w:autoSpaceDN w:val="0"/>
        <w:spacing w:before="240" w:after="240" w:line="276" w:lineRule="auto"/>
        <w:ind w:left="142" w:firstLine="0"/>
        <w:contextualSpacing/>
        <w:jc w:val="both"/>
        <w:rPr>
          <w:rFonts w:asciiTheme="minorHAnsi" w:hAnsiTheme="minorHAnsi" w:cstheme="minorHAnsi"/>
          <w:sz w:val="22"/>
          <w:szCs w:val="22"/>
          <w:lang w:val="en-US"/>
        </w:rPr>
      </w:pPr>
      <w:r w:rsidRPr="00696B5D">
        <w:rPr>
          <w:rFonts w:asciiTheme="minorHAnsi" w:hAnsiTheme="minorHAnsi" w:cstheme="minorHAnsi"/>
          <w:sz w:val="22"/>
          <w:szCs w:val="22"/>
        </w:rPr>
        <w:t xml:space="preserve">İşbu Sözleşme’nin 1.maddede belirtilen Tarafların </w:t>
      </w:r>
      <w:r w:rsidR="00E15493" w:rsidRPr="00696B5D">
        <w:rPr>
          <w:rFonts w:asciiTheme="minorHAnsi" w:hAnsiTheme="minorHAnsi" w:cstheme="minorHAnsi"/>
          <w:sz w:val="22"/>
          <w:szCs w:val="22"/>
          <w:lang w:val="en-US"/>
        </w:rPr>
        <w:t>adresleri</w:t>
      </w:r>
      <w:r w:rsidRPr="00696B5D">
        <w:rPr>
          <w:rFonts w:asciiTheme="minorHAnsi" w:hAnsiTheme="minorHAnsi" w:cstheme="minorHAnsi"/>
          <w:sz w:val="22"/>
          <w:szCs w:val="22"/>
          <w:lang w:val="en-US"/>
        </w:rPr>
        <w:t>ndeki tebligat adresleri</w:t>
      </w:r>
      <w:r w:rsidR="00E15493" w:rsidRPr="00696B5D">
        <w:rPr>
          <w:rFonts w:asciiTheme="minorHAnsi" w:hAnsiTheme="minorHAnsi" w:cstheme="minorHAnsi"/>
          <w:sz w:val="22"/>
          <w:szCs w:val="22"/>
          <w:lang w:val="en-US"/>
        </w:rPr>
        <w:t xml:space="preserve"> olarak kabul etmişlerdir. </w:t>
      </w:r>
      <w:r w:rsidR="00E15493" w:rsidRPr="00696B5D">
        <w:rPr>
          <w:rFonts w:asciiTheme="minorHAnsi" w:hAnsiTheme="minorHAnsi" w:cstheme="minorHAnsi"/>
          <w:sz w:val="22"/>
          <w:szCs w:val="22"/>
        </w:rPr>
        <w:t>Belirtilen adreslerdeki değişiklikler 15 (onbeş) gün içinde diğer Taraf’a yazılı olarak bildirilecektir. Aksi takdirde, eski adrese yapılan bildirimler usulüne uygun bir tebligatın sonucunu doğuracaktır.</w:t>
      </w:r>
    </w:p>
    <w:p w14:paraId="1FCF63F7" w14:textId="77777777" w:rsidR="00E15493" w:rsidRPr="00696B5D" w:rsidRDefault="00E15493" w:rsidP="00696B5D">
      <w:pPr>
        <w:pStyle w:val="ListParagraph"/>
        <w:tabs>
          <w:tab w:val="left" w:pos="1701"/>
        </w:tabs>
        <w:autoSpaceDE w:val="0"/>
        <w:autoSpaceDN w:val="0"/>
        <w:spacing w:line="276" w:lineRule="auto"/>
        <w:ind w:left="993"/>
        <w:jc w:val="both"/>
        <w:rPr>
          <w:rFonts w:asciiTheme="minorHAnsi" w:hAnsiTheme="minorHAnsi" w:cstheme="minorHAnsi"/>
          <w:sz w:val="22"/>
          <w:szCs w:val="22"/>
          <w:lang w:val="en-US"/>
        </w:rPr>
      </w:pPr>
    </w:p>
    <w:p w14:paraId="723AAC1B" w14:textId="77777777" w:rsidR="00E15493" w:rsidRPr="00696B5D" w:rsidRDefault="00E15493" w:rsidP="00696B5D">
      <w:pPr>
        <w:pStyle w:val="ListParagraph"/>
        <w:numPr>
          <w:ilvl w:val="2"/>
          <w:numId w:val="3"/>
        </w:numPr>
        <w:tabs>
          <w:tab w:val="left" w:pos="1134"/>
        </w:tabs>
        <w:autoSpaceDE w:val="0"/>
        <w:autoSpaceDN w:val="0"/>
        <w:spacing w:before="240" w:after="240" w:line="276" w:lineRule="auto"/>
        <w:ind w:left="0" w:firstLine="142"/>
        <w:contextualSpacing/>
        <w:jc w:val="both"/>
        <w:rPr>
          <w:rFonts w:asciiTheme="minorHAnsi" w:hAnsiTheme="minorHAnsi" w:cstheme="minorHAnsi"/>
          <w:sz w:val="22"/>
          <w:szCs w:val="22"/>
          <w:lang w:val="en-US"/>
        </w:rPr>
      </w:pPr>
      <w:r w:rsidRPr="00696B5D">
        <w:rPr>
          <w:rFonts w:asciiTheme="minorHAnsi" w:hAnsiTheme="minorHAnsi" w:cstheme="minorHAnsi"/>
          <w:sz w:val="22"/>
          <w:szCs w:val="22"/>
          <w:lang w:val="en-US"/>
        </w:rPr>
        <w:t xml:space="preserve"> Bir Taraf’ça diğerine gönderilen bildirim aksi ispatlanmadıkça;</w:t>
      </w:r>
    </w:p>
    <w:p w14:paraId="4FE97C8C" w14:textId="77777777" w:rsidR="00E15493" w:rsidRPr="00696B5D" w:rsidRDefault="00E15493" w:rsidP="00696B5D">
      <w:pPr>
        <w:pStyle w:val="ListParagraph"/>
        <w:tabs>
          <w:tab w:val="left" w:pos="1701"/>
        </w:tabs>
        <w:autoSpaceDE w:val="0"/>
        <w:autoSpaceDN w:val="0"/>
        <w:spacing w:before="240" w:after="240" w:line="276" w:lineRule="auto"/>
        <w:ind w:left="993"/>
        <w:jc w:val="both"/>
        <w:rPr>
          <w:rFonts w:asciiTheme="minorHAnsi" w:hAnsiTheme="minorHAnsi" w:cstheme="minorHAnsi"/>
          <w:sz w:val="22"/>
          <w:szCs w:val="22"/>
          <w:lang w:val="en-US"/>
        </w:rPr>
      </w:pPr>
    </w:p>
    <w:p w14:paraId="4B5BE0B3" w14:textId="77777777" w:rsidR="00E15493" w:rsidRPr="00696B5D" w:rsidRDefault="00E15493" w:rsidP="00696B5D">
      <w:pPr>
        <w:pStyle w:val="ListParagraph"/>
        <w:numPr>
          <w:ilvl w:val="0"/>
          <w:numId w:val="4"/>
        </w:numPr>
        <w:autoSpaceDE w:val="0"/>
        <w:autoSpaceDN w:val="0"/>
        <w:spacing w:before="240" w:after="240" w:line="276" w:lineRule="auto"/>
        <w:contextualSpacing/>
        <w:jc w:val="both"/>
        <w:rPr>
          <w:rFonts w:asciiTheme="minorHAnsi" w:hAnsiTheme="minorHAnsi" w:cstheme="minorHAnsi"/>
          <w:sz w:val="22"/>
          <w:szCs w:val="22"/>
          <w:lang w:val="en-US"/>
        </w:rPr>
      </w:pPr>
      <w:r w:rsidRPr="00696B5D">
        <w:rPr>
          <w:rFonts w:asciiTheme="minorHAnsi" w:eastAsia="Calibri" w:hAnsiTheme="minorHAnsi" w:cstheme="minorHAnsi"/>
          <w:bCs/>
          <w:sz w:val="22"/>
          <w:szCs w:val="22"/>
          <w:lang w:val="en-US"/>
        </w:rPr>
        <w:t>Teslimatı teyit eden makbuz ile elden teslim edilmişse aynı gün,</w:t>
      </w:r>
    </w:p>
    <w:p w14:paraId="1EC804B4" w14:textId="77777777" w:rsidR="00E15493" w:rsidRPr="00696B5D" w:rsidRDefault="00E15493" w:rsidP="00696B5D">
      <w:pPr>
        <w:pStyle w:val="ListParagraph"/>
        <w:numPr>
          <w:ilvl w:val="0"/>
          <w:numId w:val="4"/>
        </w:numPr>
        <w:autoSpaceDE w:val="0"/>
        <w:autoSpaceDN w:val="0"/>
        <w:spacing w:before="240" w:after="240" w:line="276" w:lineRule="auto"/>
        <w:contextualSpacing/>
        <w:jc w:val="both"/>
        <w:rPr>
          <w:rFonts w:asciiTheme="minorHAnsi" w:hAnsiTheme="minorHAnsi" w:cstheme="minorHAnsi"/>
          <w:sz w:val="22"/>
          <w:szCs w:val="22"/>
          <w:lang w:val="en-US"/>
        </w:rPr>
      </w:pPr>
      <w:r w:rsidRPr="00696B5D">
        <w:rPr>
          <w:rFonts w:asciiTheme="minorHAnsi" w:eastAsia="Calibri" w:hAnsiTheme="minorHAnsi" w:cstheme="minorHAnsi"/>
          <w:bCs/>
          <w:sz w:val="22"/>
          <w:szCs w:val="22"/>
          <w:lang w:val="en-US"/>
        </w:rPr>
        <w:t>5070 sayılı Elektronik İmza Kanunu çerçevesindeki elektronik/mobil imza ile yapıldığı takdirde gönderim tarihini takip eden gün,</w:t>
      </w:r>
    </w:p>
    <w:p w14:paraId="7A69206A" w14:textId="77777777" w:rsidR="00E15493" w:rsidRPr="00696B5D" w:rsidRDefault="00E15493" w:rsidP="00696B5D">
      <w:pPr>
        <w:pStyle w:val="ListParagraph"/>
        <w:autoSpaceDE w:val="0"/>
        <w:autoSpaceDN w:val="0"/>
        <w:spacing w:before="240" w:after="240" w:line="276" w:lineRule="auto"/>
        <w:ind w:left="1584"/>
        <w:jc w:val="both"/>
        <w:rPr>
          <w:rFonts w:asciiTheme="minorHAnsi" w:hAnsiTheme="minorHAnsi" w:cstheme="minorHAnsi"/>
          <w:bCs/>
          <w:sz w:val="22"/>
          <w:szCs w:val="22"/>
          <w:lang w:val="en-US"/>
        </w:rPr>
      </w:pPr>
      <w:r w:rsidRPr="00696B5D">
        <w:rPr>
          <w:rFonts w:asciiTheme="minorHAnsi" w:hAnsiTheme="minorHAnsi" w:cstheme="minorHAnsi"/>
          <w:bCs/>
          <w:sz w:val="22"/>
          <w:szCs w:val="22"/>
          <w:lang w:val="en-US"/>
        </w:rPr>
        <w:t>alınmış sayılacaktır.</w:t>
      </w:r>
    </w:p>
    <w:p w14:paraId="559EC5D5" w14:textId="77777777" w:rsidR="00E15493" w:rsidRPr="00696B5D" w:rsidRDefault="00E15493" w:rsidP="00696B5D">
      <w:pPr>
        <w:pStyle w:val="ListParagraph"/>
        <w:numPr>
          <w:ilvl w:val="2"/>
          <w:numId w:val="3"/>
        </w:numPr>
        <w:tabs>
          <w:tab w:val="left" w:pos="1134"/>
          <w:tab w:val="left" w:pos="1701"/>
        </w:tabs>
        <w:autoSpaceDE w:val="0"/>
        <w:autoSpaceDN w:val="0"/>
        <w:spacing w:before="240" w:after="240" w:line="276" w:lineRule="auto"/>
        <w:ind w:left="142" w:firstLine="0"/>
        <w:contextualSpacing/>
        <w:jc w:val="both"/>
        <w:rPr>
          <w:rFonts w:asciiTheme="minorHAnsi" w:hAnsiTheme="minorHAnsi" w:cstheme="minorHAnsi"/>
          <w:sz w:val="22"/>
          <w:szCs w:val="22"/>
          <w:lang w:val="en-US"/>
        </w:rPr>
      </w:pPr>
      <w:r w:rsidRPr="00696B5D">
        <w:rPr>
          <w:rFonts w:asciiTheme="minorHAnsi" w:eastAsia="Calibri" w:hAnsiTheme="minorHAnsi" w:cstheme="minorHAnsi"/>
          <w:sz w:val="22"/>
          <w:szCs w:val="22"/>
          <w:lang w:val="en-US"/>
        </w:rPr>
        <w:t xml:space="preserve">Bu Sözleşme kapsamındaki </w:t>
      </w:r>
      <w:r w:rsidRPr="00696B5D">
        <w:rPr>
          <w:rFonts w:asciiTheme="minorHAnsi" w:eastAsia="Calibri,Times New Roman" w:hAnsiTheme="minorHAnsi" w:cstheme="minorHAnsi"/>
          <w:sz w:val="22"/>
          <w:szCs w:val="22"/>
          <w:lang w:val="en-US"/>
        </w:rPr>
        <w:t>temerrüt, fesih ve mücbir sebep ihbarları Taraflar’ın yukarıda belirttikleri adreslerine noter marifetiyle ya da iadeli taahhütlü mektup veya 5070 sayılı Elektronik İmza Kanunu çerçevesinde güvenli elektronik/mobil imza kullanılarak yapıldığı takdirde usulünce tebliğ edilmiş sayılacaktır.</w:t>
      </w:r>
    </w:p>
    <w:p w14:paraId="47186EB8" w14:textId="77777777" w:rsidR="00E15493" w:rsidRPr="00696B5D" w:rsidRDefault="00E15493" w:rsidP="00696B5D">
      <w:pPr>
        <w:pStyle w:val="BodyText2"/>
        <w:numPr>
          <w:ilvl w:val="1"/>
          <w:numId w:val="3"/>
        </w:numPr>
        <w:spacing w:after="240" w:line="276" w:lineRule="auto"/>
        <w:ind w:hanging="716"/>
        <w:rPr>
          <w:rFonts w:cstheme="minorHAnsi"/>
          <w:b/>
        </w:rPr>
      </w:pPr>
      <w:r w:rsidRPr="00696B5D">
        <w:rPr>
          <w:rFonts w:cstheme="minorHAnsi"/>
          <w:b/>
        </w:rPr>
        <w:t>Kamuya İlan</w:t>
      </w:r>
    </w:p>
    <w:p w14:paraId="0F5C69BB" w14:textId="77777777" w:rsidR="00E15493" w:rsidRPr="00696B5D" w:rsidRDefault="00E15493" w:rsidP="00696B5D">
      <w:pPr>
        <w:pStyle w:val="BodyText2"/>
        <w:spacing w:after="240" w:line="276" w:lineRule="auto"/>
        <w:jc w:val="both"/>
        <w:rPr>
          <w:rFonts w:cstheme="minorHAnsi"/>
        </w:rPr>
      </w:pPr>
      <w:r w:rsidRPr="00696B5D">
        <w:rPr>
          <w:rFonts w:cstheme="minorHAnsi"/>
        </w:rPr>
        <w:t>Yüklenici tarafından bu Sözleşme’nin konusu ile ilgili olarak kamuya yönelik duyurular ve/veya borsa ilanı yapılacaksa, öncesinde kamuya yönelik ve/veya borsa ilanını TTG’ye iletecek ve yazılı olarak onaylanması kaydıyla yayınlayacaktır.</w:t>
      </w:r>
    </w:p>
    <w:p w14:paraId="6750D916" w14:textId="77777777" w:rsidR="00E15493" w:rsidRPr="00696B5D" w:rsidRDefault="00E15493" w:rsidP="00696B5D">
      <w:pPr>
        <w:pStyle w:val="ListParagraph"/>
        <w:numPr>
          <w:ilvl w:val="1"/>
          <w:numId w:val="3"/>
        </w:numPr>
        <w:tabs>
          <w:tab w:val="left" w:pos="709"/>
        </w:tabs>
        <w:spacing w:before="240" w:after="240" w:line="276" w:lineRule="auto"/>
        <w:ind w:hanging="716"/>
        <w:jc w:val="both"/>
        <w:rPr>
          <w:rFonts w:asciiTheme="minorHAnsi" w:hAnsiTheme="minorHAnsi" w:cstheme="minorHAnsi"/>
          <w:b/>
          <w:bCs/>
          <w:sz w:val="22"/>
          <w:szCs w:val="22"/>
        </w:rPr>
      </w:pPr>
      <w:r w:rsidRPr="00696B5D">
        <w:rPr>
          <w:rFonts w:asciiTheme="minorHAnsi" w:hAnsiTheme="minorHAnsi" w:cstheme="minorHAnsi"/>
          <w:b/>
          <w:bCs/>
          <w:sz w:val="22"/>
          <w:szCs w:val="22"/>
        </w:rPr>
        <w:lastRenderedPageBreak/>
        <w:t>Feragat</w:t>
      </w:r>
    </w:p>
    <w:p w14:paraId="23A51D00" w14:textId="77777777" w:rsidR="00E15493" w:rsidRPr="00696B5D" w:rsidRDefault="00E15493" w:rsidP="00696B5D">
      <w:pPr>
        <w:pStyle w:val="ListParagraph"/>
        <w:numPr>
          <w:ilvl w:val="2"/>
          <w:numId w:val="3"/>
        </w:numPr>
        <w:tabs>
          <w:tab w:val="left" w:pos="709"/>
        </w:tabs>
        <w:spacing w:before="240" w:after="240" w:line="276" w:lineRule="auto"/>
        <w:jc w:val="both"/>
        <w:rPr>
          <w:rFonts w:asciiTheme="minorHAnsi" w:hAnsiTheme="minorHAnsi" w:cstheme="minorHAnsi"/>
          <w:bCs/>
          <w:sz w:val="22"/>
          <w:szCs w:val="22"/>
        </w:rPr>
      </w:pPr>
      <w:r w:rsidRPr="00696B5D">
        <w:rPr>
          <w:rFonts w:asciiTheme="minorHAnsi" w:hAnsiTheme="minorHAnsi" w:cstheme="minorHAnsi"/>
          <w:bCs/>
          <w:sz w:val="22"/>
          <w:szCs w:val="22"/>
        </w:rPr>
        <w:t>İşbu Sözleşme ile verilmiş bir hakkın kullanılması yürürlükteki mevzuattan kaynaklanan haklardan faydalanılmasından feragat edildiği ve işbu Sözleşme’de seçimlik olarak belirtilmiş olanlar dışında bir hakkın kullanılması, Sözleşme’de düzenlenmiş bir başka haktan feragat edildiği anlamına gelmeyecek, her durumda söz konusu haklar saklı tutulacaktır.</w:t>
      </w:r>
    </w:p>
    <w:p w14:paraId="10565415" w14:textId="77777777" w:rsidR="00E15493" w:rsidRPr="00696B5D" w:rsidRDefault="00E15493" w:rsidP="00696B5D">
      <w:pPr>
        <w:pStyle w:val="ListParagraph"/>
        <w:numPr>
          <w:ilvl w:val="2"/>
          <w:numId w:val="3"/>
        </w:numPr>
        <w:tabs>
          <w:tab w:val="left" w:pos="709"/>
        </w:tabs>
        <w:spacing w:before="240" w:after="240" w:line="276" w:lineRule="auto"/>
        <w:jc w:val="both"/>
        <w:rPr>
          <w:rFonts w:asciiTheme="minorHAnsi" w:hAnsiTheme="minorHAnsi" w:cstheme="minorHAnsi"/>
          <w:bCs/>
          <w:sz w:val="22"/>
          <w:szCs w:val="22"/>
        </w:rPr>
      </w:pPr>
      <w:r w:rsidRPr="00696B5D">
        <w:rPr>
          <w:rFonts w:asciiTheme="minorHAnsi" w:hAnsiTheme="minorHAnsi" w:cstheme="minorHAnsi"/>
          <w:bCs/>
          <w:sz w:val="22"/>
          <w:szCs w:val="22"/>
        </w:rPr>
        <w:t xml:space="preserve">Hiçbir feragat yazılı olarak ve bizzat Taraflar’ca yapılmadıkça geçerli olmayacaktır. Taraflar’dan herhangi birinin işbu Sözleşme’nin herhangi bir hükmünün veya şartının sağlanmaını talep etmemesi ya da herhangi bir Taraf’ın işbu Sözleşme’nin herhangi bir şekilde ihlalinden doğan talep hakkından feragat etmesi, söz konusu hüküm veya şartın bundan sonra uygulanmasını engellemeyecek ve bir sonraki ihlalden feragat olarak sayılmayacaktır.  </w:t>
      </w:r>
    </w:p>
    <w:p w14:paraId="5AE45D41" w14:textId="77777777" w:rsidR="00E15493" w:rsidRPr="00696B5D" w:rsidRDefault="00E15493" w:rsidP="00696B5D">
      <w:pPr>
        <w:pStyle w:val="ListParagraph"/>
        <w:numPr>
          <w:ilvl w:val="1"/>
          <w:numId w:val="3"/>
        </w:numPr>
        <w:tabs>
          <w:tab w:val="left" w:pos="709"/>
        </w:tabs>
        <w:spacing w:before="240" w:after="240" w:line="276" w:lineRule="auto"/>
        <w:ind w:hanging="716"/>
        <w:jc w:val="both"/>
        <w:rPr>
          <w:rFonts w:asciiTheme="minorHAnsi" w:hAnsiTheme="minorHAnsi" w:cstheme="minorHAnsi"/>
          <w:b/>
          <w:bCs/>
          <w:sz w:val="22"/>
          <w:szCs w:val="22"/>
        </w:rPr>
      </w:pPr>
      <w:r w:rsidRPr="00696B5D">
        <w:rPr>
          <w:rFonts w:asciiTheme="minorHAnsi" w:hAnsiTheme="minorHAnsi" w:cstheme="minorHAnsi"/>
          <w:b/>
          <w:bCs/>
          <w:sz w:val="22"/>
          <w:szCs w:val="22"/>
        </w:rPr>
        <w:t>Sözleşme’den Yararlanma</w:t>
      </w:r>
    </w:p>
    <w:p w14:paraId="269069DB" w14:textId="5EA5CAFE" w:rsidR="00E15493" w:rsidRPr="00696B5D" w:rsidRDefault="00E15493" w:rsidP="00696B5D">
      <w:pPr>
        <w:pStyle w:val="ListParagraph"/>
        <w:tabs>
          <w:tab w:val="left" w:pos="1276"/>
        </w:tabs>
        <w:spacing w:before="240" w:after="240" w:line="276" w:lineRule="auto"/>
        <w:ind w:left="0"/>
        <w:jc w:val="both"/>
        <w:rPr>
          <w:rFonts w:asciiTheme="minorHAnsi" w:hAnsiTheme="minorHAnsi" w:cstheme="minorHAnsi"/>
          <w:sz w:val="22"/>
          <w:szCs w:val="22"/>
          <w:lang w:val="en-US"/>
        </w:rPr>
      </w:pPr>
      <w:r w:rsidRPr="00696B5D">
        <w:rPr>
          <w:rFonts w:asciiTheme="minorHAnsi" w:hAnsiTheme="minorHAnsi" w:cstheme="minorHAnsi"/>
          <w:bCs/>
          <w:sz w:val="22"/>
          <w:szCs w:val="22"/>
        </w:rPr>
        <w:t xml:space="preserve">Taraflar, TTG’nin bağlı şirketlerinin ve/veya iştiraklerinin talepleri halinde tamamen işbu Sözleşme hüküm ve şartlarına tabi olarak Hizmet alabileceklerini kabul ve beyan ederler. Yüklenici, söz konusu Hizmet bedelini işbu Sözleşme hüküm ve şartları kapsamında sadece </w:t>
      </w:r>
      <w:r w:rsidRPr="00696B5D">
        <w:rPr>
          <w:rFonts w:asciiTheme="minorHAnsi" w:hAnsiTheme="minorHAnsi" w:cstheme="minorHAnsi"/>
          <w:sz w:val="22"/>
          <w:szCs w:val="22"/>
          <w:lang w:val="en-US"/>
        </w:rPr>
        <w:t xml:space="preserve">talep eden ilgili tüzel kişiye fatura edecektir.   </w:t>
      </w:r>
    </w:p>
    <w:p w14:paraId="0D39C589" w14:textId="77777777" w:rsidR="00E15493" w:rsidRPr="00696B5D" w:rsidRDefault="00E15493" w:rsidP="00696B5D">
      <w:pPr>
        <w:pStyle w:val="ListParagraph"/>
        <w:numPr>
          <w:ilvl w:val="1"/>
          <w:numId w:val="3"/>
        </w:numPr>
        <w:tabs>
          <w:tab w:val="left" w:pos="709"/>
        </w:tabs>
        <w:spacing w:before="240" w:after="240" w:line="276" w:lineRule="auto"/>
        <w:ind w:hanging="716"/>
        <w:jc w:val="both"/>
        <w:rPr>
          <w:rFonts w:asciiTheme="minorHAnsi" w:hAnsiTheme="minorHAnsi" w:cstheme="minorHAnsi"/>
          <w:b/>
          <w:sz w:val="22"/>
          <w:szCs w:val="22"/>
        </w:rPr>
      </w:pPr>
      <w:r w:rsidRPr="00696B5D">
        <w:rPr>
          <w:rFonts w:asciiTheme="minorHAnsi" w:hAnsiTheme="minorHAnsi" w:cstheme="minorHAnsi"/>
          <w:b/>
          <w:sz w:val="22"/>
          <w:szCs w:val="22"/>
          <w:lang w:val="en-US"/>
        </w:rPr>
        <w:t xml:space="preserve">Sözleşme’nin Bütünlüğü </w:t>
      </w:r>
    </w:p>
    <w:p w14:paraId="7C5BDD7A" w14:textId="77777777" w:rsidR="00E15493" w:rsidRPr="00696B5D" w:rsidRDefault="00E15493" w:rsidP="00696B5D">
      <w:pPr>
        <w:tabs>
          <w:tab w:val="left" w:pos="1276"/>
        </w:tabs>
        <w:spacing w:before="240" w:after="240" w:line="276" w:lineRule="auto"/>
        <w:jc w:val="both"/>
        <w:rPr>
          <w:rFonts w:cstheme="minorHAnsi"/>
        </w:rPr>
      </w:pPr>
      <w:r w:rsidRPr="00696B5D">
        <w:rPr>
          <w:rFonts w:cstheme="minorHAnsi"/>
        </w:rPr>
        <w:t>Sözleşme, Taraflar arasında Sözleşme konusu hakkında varılan mutabakat ve Sözleşme’nin tamamını kapsar ve bu konuda daha önceki bütün sözlü ve yazılı anlaşmaların yerini alır. Taraflar’ın hiçbiri Sözleşme’de açıkça belirtilmeyen herhangi bir anlaşma, düzenleme veya mutabakata dayanarak işlem yapma hakkına sahip değildir.</w:t>
      </w:r>
    </w:p>
    <w:p w14:paraId="6B4C80D0" w14:textId="77777777" w:rsidR="00E15493" w:rsidRPr="00696B5D" w:rsidRDefault="00E15493" w:rsidP="00696B5D">
      <w:pPr>
        <w:pStyle w:val="ListParagraph"/>
        <w:numPr>
          <w:ilvl w:val="1"/>
          <w:numId w:val="3"/>
        </w:numPr>
        <w:spacing w:before="240" w:after="240" w:line="276" w:lineRule="auto"/>
        <w:ind w:hanging="716"/>
        <w:jc w:val="both"/>
        <w:rPr>
          <w:rFonts w:asciiTheme="minorHAnsi" w:hAnsiTheme="minorHAnsi" w:cstheme="minorHAnsi"/>
          <w:b/>
          <w:sz w:val="22"/>
          <w:szCs w:val="22"/>
        </w:rPr>
      </w:pPr>
      <w:r w:rsidRPr="00696B5D">
        <w:rPr>
          <w:rFonts w:asciiTheme="minorHAnsi" w:hAnsiTheme="minorHAnsi" w:cstheme="minorHAnsi"/>
          <w:b/>
          <w:sz w:val="22"/>
          <w:szCs w:val="22"/>
          <w:lang w:val="en-US"/>
        </w:rPr>
        <w:t>Bölünebilirlik</w:t>
      </w:r>
    </w:p>
    <w:p w14:paraId="70F69030" w14:textId="77777777" w:rsidR="00E15493" w:rsidRPr="00696B5D" w:rsidRDefault="00E15493" w:rsidP="00696B5D">
      <w:pPr>
        <w:tabs>
          <w:tab w:val="left" w:pos="1276"/>
        </w:tabs>
        <w:spacing w:before="240" w:after="240" w:line="276" w:lineRule="auto"/>
        <w:jc w:val="both"/>
        <w:rPr>
          <w:rFonts w:cstheme="minorHAnsi"/>
        </w:rPr>
      </w:pPr>
      <w:r w:rsidRPr="00696B5D">
        <w:rPr>
          <w:rFonts w:cstheme="minorHAnsi"/>
        </w:rPr>
        <w:t>Bir yetkili mahkemenin Sözleşme’nin herhangi bir madde veya kısmını geçersiz, hükümsüz veya ifa edilemez sayması veya ilân etmesi halinde; ilgili madde veya kısım, asıl amacına en yakın ve aynı zamanda ifa edilebilir olan bir şekilde ve kapsamda yorumlanacak ve uygulanacaktır. Ancak bunun mümkün olmaması halinde, ilgili madde veya kısım Sözleşme’den ayrılmış ve çıkartılmış sayılacak ve bu durum Sözleşme’nin kalan madde ve hükümlerini hiçbir şekilde etkilemeyecek veya geçersiz hale getirmeyecek ve Sözleşme’nin diğer madde ve hükümleri tamamen geçerli ve yürürlükte kalmaya devam edecektir.</w:t>
      </w:r>
    </w:p>
    <w:p w14:paraId="3E067F8B" w14:textId="77777777" w:rsidR="00E15493" w:rsidRPr="00696B5D" w:rsidRDefault="00E15493" w:rsidP="00696B5D">
      <w:pPr>
        <w:pStyle w:val="ListParagraph"/>
        <w:numPr>
          <w:ilvl w:val="1"/>
          <w:numId w:val="3"/>
        </w:numPr>
        <w:tabs>
          <w:tab w:val="left" w:pos="709"/>
        </w:tabs>
        <w:spacing w:before="240" w:after="240" w:line="276" w:lineRule="auto"/>
        <w:ind w:hanging="716"/>
        <w:jc w:val="both"/>
        <w:rPr>
          <w:rFonts w:asciiTheme="minorHAnsi" w:hAnsiTheme="minorHAnsi" w:cstheme="minorHAnsi"/>
          <w:b/>
          <w:sz w:val="22"/>
          <w:szCs w:val="22"/>
        </w:rPr>
      </w:pPr>
      <w:r w:rsidRPr="00696B5D">
        <w:rPr>
          <w:rFonts w:asciiTheme="minorHAnsi" w:hAnsiTheme="minorHAnsi" w:cstheme="minorHAnsi"/>
          <w:b/>
          <w:sz w:val="22"/>
          <w:szCs w:val="22"/>
          <w:lang w:val="en-US"/>
        </w:rPr>
        <w:t>Masraflar</w:t>
      </w:r>
    </w:p>
    <w:p w14:paraId="3451B593" w14:textId="12F3755A" w:rsidR="00E15493" w:rsidRPr="00696B5D" w:rsidRDefault="00E15493" w:rsidP="00696B5D">
      <w:pPr>
        <w:pStyle w:val="ListParagraph"/>
        <w:tabs>
          <w:tab w:val="left" w:pos="567"/>
        </w:tabs>
        <w:autoSpaceDE w:val="0"/>
        <w:autoSpaceDN w:val="0"/>
        <w:spacing w:before="240" w:after="240" w:line="276" w:lineRule="auto"/>
        <w:ind w:left="0"/>
        <w:jc w:val="both"/>
        <w:rPr>
          <w:rFonts w:asciiTheme="minorHAnsi" w:hAnsiTheme="minorHAnsi" w:cstheme="minorHAnsi"/>
          <w:sz w:val="22"/>
          <w:szCs w:val="22"/>
        </w:rPr>
      </w:pPr>
      <w:r w:rsidRPr="00696B5D">
        <w:rPr>
          <w:rFonts w:asciiTheme="minorHAnsi" w:hAnsiTheme="minorHAnsi" w:cstheme="minorHAnsi"/>
          <w:sz w:val="22"/>
          <w:szCs w:val="22"/>
        </w:rPr>
        <w:t>Açıkça aksi belirtilmedikçe, Taraflar’ın her biri kendi masraf ve giderlerini (bunlarla sınırlı kalmaksızın ve fakat teknik ve hukuk danışmanlarının ücretleri, barınma, seyahat ve benzeri de dâhil) kendisi karşılayacaktır.</w:t>
      </w:r>
    </w:p>
    <w:p w14:paraId="1201E376" w14:textId="0DE6B898" w:rsidR="00E15493" w:rsidRPr="00696B5D" w:rsidRDefault="00E15493" w:rsidP="00696B5D">
      <w:pPr>
        <w:pStyle w:val="ListParagraph"/>
        <w:spacing w:after="240" w:line="276" w:lineRule="auto"/>
        <w:ind w:left="0"/>
        <w:jc w:val="both"/>
        <w:rPr>
          <w:rFonts w:asciiTheme="minorHAnsi" w:hAnsiTheme="minorHAnsi" w:cstheme="minorHAnsi"/>
          <w:sz w:val="22"/>
          <w:szCs w:val="22"/>
        </w:rPr>
      </w:pPr>
      <w:r w:rsidRPr="00696B5D">
        <w:rPr>
          <w:rFonts w:asciiTheme="minorHAnsi" w:hAnsiTheme="minorHAnsi" w:cstheme="minorHAnsi"/>
          <w:b/>
          <w:sz w:val="22"/>
          <w:szCs w:val="22"/>
        </w:rPr>
        <w:t>17.10.</w:t>
      </w:r>
      <w:r w:rsidRPr="00696B5D">
        <w:rPr>
          <w:rFonts w:asciiTheme="minorHAnsi" w:hAnsiTheme="minorHAnsi" w:cstheme="minorHAnsi"/>
          <w:sz w:val="22"/>
          <w:szCs w:val="22"/>
        </w:rPr>
        <w:t xml:space="preserve"> </w:t>
      </w:r>
      <w:r w:rsidRPr="00696B5D">
        <w:rPr>
          <w:rFonts w:asciiTheme="minorHAnsi" w:hAnsiTheme="minorHAnsi" w:cstheme="minorHAnsi"/>
          <w:sz w:val="22"/>
          <w:szCs w:val="22"/>
        </w:rPr>
        <w:tab/>
      </w:r>
      <w:r w:rsidRPr="00696B5D">
        <w:rPr>
          <w:rFonts w:asciiTheme="minorHAnsi" w:hAnsiTheme="minorHAnsi" w:cstheme="minorHAnsi"/>
          <w:b/>
          <w:sz w:val="22"/>
          <w:szCs w:val="22"/>
          <w:lang w:val="en-US"/>
        </w:rPr>
        <w:t>Bağımsız Tacirler</w:t>
      </w:r>
    </w:p>
    <w:p w14:paraId="60202FD7" w14:textId="5157F844" w:rsidR="00E15493" w:rsidRPr="00696B5D" w:rsidRDefault="00E15493" w:rsidP="00696B5D">
      <w:pPr>
        <w:pStyle w:val="ListParagraph"/>
        <w:spacing w:after="240" w:line="276" w:lineRule="auto"/>
        <w:ind w:left="0"/>
        <w:jc w:val="both"/>
        <w:rPr>
          <w:rFonts w:asciiTheme="minorHAnsi" w:hAnsiTheme="minorHAnsi" w:cstheme="minorHAnsi"/>
          <w:sz w:val="22"/>
          <w:szCs w:val="22"/>
        </w:rPr>
      </w:pPr>
      <w:r w:rsidRPr="00696B5D">
        <w:rPr>
          <w:rFonts w:asciiTheme="minorHAnsi" w:hAnsiTheme="minorHAnsi" w:cstheme="minorHAnsi"/>
          <w:sz w:val="22"/>
          <w:szCs w:val="22"/>
        </w:rPr>
        <w:lastRenderedPageBreak/>
        <w:t xml:space="preserve">İşbu Sözleşme ile Taraflar arasında herhangi acentelik, bir ortaklık, adi ortaklık ve/veya ortak girişim ilişkisi kurulmamış olup Sözleşme böyle bir amacı taşımamaktadır ve bu şekilde yorumlanamayacaktır. İşbu Sözleşme Taraflar’dan herhangi birine diğerini temsil etme yetkisi vermemekte ve yine Taraflar’a birbirleri adına veya namına hareket etme, sözleşme akdetme veya sair surette birbirlerini bağlama yetkisini tanımamaktadır. </w:t>
      </w:r>
    </w:p>
    <w:p w14:paraId="4DD84251" w14:textId="77777777" w:rsidR="00E15493" w:rsidRPr="00696B5D" w:rsidRDefault="00E15493" w:rsidP="00696B5D">
      <w:pPr>
        <w:pStyle w:val="ListParagraph"/>
        <w:numPr>
          <w:ilvl w:val="1"/>
          <w:numId w:val="5"/>
        </w:numPr>
        <w:tabs>
          <w:tab w:val="left" w:pos="709"/>
        </w:tabs>
        <w:autoSpaceDE w:val="0"/>
        <w:autoSpaceDN w:val="0"/>
        <w:spacing w:before="240" w:after="240" w:line="276" w:lineRule="auto"/>
        <w:contextualSpacing/>
        <w:jc w:val="both"/>
        <w:rPr>
          <w:rFonts w:asciiTheme="minorHAnsi" w:hAnsiTheme="minorHAnsi" w:cstheme="minorHAnsi"/>
          <w:color w:val="000000"/>
          <w:sz w:val="22"/>
          <w:szCs w:val="22"/>
          <w:lang w:val="en-US"/>
        </w:rPr>
      </w:pPr>
      <w:r w:rsidRPr="00696B5D">
        <w:rPr>
          <w:rFonts w:asciiTheme="minorHAnsi" w:eastAsia="Calibri" w:hAnsiTheme="minorHAnsi" w:cstheme="minorHAnsi"/>
          <w:b/>
          <w:sz w:val="22"/>
          <w:szCs w:val="22"/>
          <w:lang w:val="en-US"/>
        </w:rPr>
        <w:t>Devir ve Temlik</w:t>
      </w:r>
    </w:p>
    <w:p w14:paraId="4A12907C" w14:textId="17D69DB6" w:rsidR="00696B5D" w:rsidRPr="008E71A0" w:rsidRDefault="00E15493" w:rsidP="00696B5D">
      <w:pPr>
        <w:spacing w:before="240" w:after="240" w:line="276" w:lineRule="auto"/>
        <w:jc w:val="both"/>
        <w:rPr>
          <w:rFonts w:cstheme="minorHAnsi"/>
        </w:rPr>
      </w:pPr>
      <w:r w:rsidRPr="00696B5D">
        <w:rPr>
          <w:rFonts w:eastAsia="Calibri" w:cstheme="minorHAnsi"/>
          <w:lang w:val="en-US"/>
        </w:rPr>
        <w:t xml:space="preserve">Yüklenici, işbu Sözleşme’den doğan hak, alacak veya yükümlülüklerini TTG’nin önceden yazılı izin ve onayını almadan üçüncü şahıslara kısmen ya da tamamen devir veya temlik edemez. </w:t>
      </w:r>
      <w:r w:rsidR="00F74F96" w:rsidRPr="00696B5D">
        <w:rPr>
          <w:rFonts w:eastAsia="Calibri" w:cstheme="minorHAnsi"/>
          <w:lang w:val="en-US"/>
        </w:rPr>
        <w:t>TTG, herhangi bir izne gerek kalmadan işbu Sözleşme’den doğan hak ve alacaklarını Grup Şirketlerine ve/veya iştiraklerine ve/veya bağlı şirketlerine devredebilecektir.</w:t>
      </w:r>
      <w:r w:rsidR="00840F3E" w:rsidRPr="00696B5D">
        <w:rPr>
          <w:rFonts w:eastAsia="Calibri" w:cstheme="minorHAnsi"/>
          <w:lang w:val="en-US"/>
        </w:rPr>
        <w:t xml:space="preserve"> </w:t>
      </w:r>
      <w:r w:rsidR="00AF348F" w:rsidRPr="00696B5D">
        <w:rPr>
          <w:rFonts w:cstheme="minorHAnsi"/>
        </w:rPr>
        <w:t>Her durumda temlik bildirimlerinin işbu Sözleşme’nin 16.3. maddesi hükümlerine tabi olması esastır.</w:t>
      </w:r>
    </w:p>
    <w:p w14:paraId="2E305E06" w14:textId="1A6EFDA8" w:rsidR="00E15493" w:rsidRPr="00696B5D" w:rsidRDefault="00E15493" w:rsidP="00696B5D">
      <w:pPr>
        <w:pStyle w:val="ListParagraph"/>
        <w:numPr>
          <w:ilvl w:val="1"/>
          <w:numId w:val="5"/>
        </w:numPr>
        <w:spacing w:before="240" w:after="240" w:line="276" w:lineRule="auto"/>
        <w:jc w:val="both"/>
        <w:rPr>
          <w:rFonts w:asciiTheme="minorHAnsi" w:eastAsia="Calibri" w:hAnsiTheme="minorHAnsi" w:cstheme="minorHAnsi"/>
          <w:sz w:val="22"/>
          <w:szCs w:val="22"/>
          <w:lang w:val="en-US"/>
        </w:rPr>
      </w:pPr>
      <w:r w:rsidRPr="00696B5D">
        <w:rPr>
          <w:rFonts w:asciiTheme="minorHAnsi" w:eastAsia="Calibri" w:hAnsiTheme="minorHAnsi" w:cstheme="minorHAnsi"/>
          <w:b/>
          <w:bCs/>
          <w:sz w:val="22"/>
          <w:szCs w:val="22"/>
          <w:lang w:val="en-US"/>
        </w:rPr>
        <w:t>Yetkili Mahkeme ve Uygulanacak Hukuk</w:t>
      </w:r>
    </w:p>
    <w:p w14:paraId="0ECF782F" w14:textId="391B532C" w:rsidR="0091752B" w:rsidRDefault="00E15493" w:rsidP="00696B5D">
      <w:pPr>
        <w:spacing w:before="240" w:after="240" w:line="276" w:lineRule="auto"/>
        <w:jc w:val="both"/>
        <w:rPr>
          <w:rFonts w:eastAsia="Calibri" w:cstheme="minorHAnsi"/>
          <w:lang w:eastAsia="zh-CN"/>
        </w:rPr>
      </w:pPr>
      <w:r w:rsidRPr="00696B5D">
        <w:rPr>
          <w:rFonts w:eastAsia="Calibri" w:cstheme="minorHAnsi"/>
        </w:rPr>
        <w:t xml:space="preserve">Bu </w:t>
      </w:r>
      <w:r w:rsidRPr="008E71A0">
        <w:rPr>
          <w:rFonts w:eastAsia="Calibri" w:cstheme="minorHAnsi"/>
        </w:rPr>
        <w:t xml:space="preserve">Sözleşme Türkiye Cumhuriyeti yasalarına tabi olacaktır. Taraflar, Sözleşme’den kaynaklanacak </w:t>
      </w:r>
      <w:r w:rsidRPr="008E71A0">
        <w:rPr>
          <w:rFonts w:eastAsia="Calibri" w:cstheme="minorHAnsi"/>
          <w:kern w:val="32"/>
        </w:rPr>
        <w:t>olan</w:t>
      </w:r>
      <w:r w:rsidRPr="008E71A0">
        <w:rPr>
          <w:rFonts w:eastAsia="Calibri" w:cstheme="minorHAnsi"/>
        </w:rPr>
        <w:t xml:space="preserve"> her türlü uyuşmazlığın çözümünde İstanbul (Çağlayan) Mahkemelerinin ve İcra Müdürlükleri’nin münhasır yetkisini işbu Sözleşme ile kabul ederler</w:t>
      </w:r>
      <w:r w:rsidRPr="008E71A0">
        <w:rPr>
          <w:rFonts w:eastAsia="Calibri" w:cstheme="minorHAnsi"/>
          <w:lang w:eastAsia="zh-CN"/>
        </w:rPr>
        <w:t>.</w:t>
      </w:r>
    </w:p>
    <w:p w14:paraId="6852893C" w14:textId="6D404E25" w:rsidR="008E71A0" w:rsidRPr="008E71A0" w:rsidRDefault="008E71A0" w:rsidP="008E71A0">
      <w:pPr>
        <w:pStyle w:val="ListParagraph"/>
        <w:numPr>
          <w:ilvl w:val="1"/>
          <w:numId w:val="5"/>
        </w:numPr>
        <w:spacing w:before="240" w:after="240" w:line="276" w:lineRule="auto"/>
        <w:jc w:val="both"/>
        <w:rPr>
          <w:rFonts w:asciiTheme="minorHAnsi" w:eastAsia="Calibri" w:hAnsiTheme="minorHAnsi" w:cstheme="minorHAnsi"/>
          <w:b/>
          <w:sz w:val="22"/>
          <w:szCs w:val="22"/>
          <w:lang w:eastAsia="zh-CN"/>
        </w:rPr>
      </w:pPr>
      <w:r w:rsidRPr="008E71A0">
        <w:rPr>
          <w:rFonts w:asciiTheme="minorHAnsi" w:eastAsia="Calibri" w:hAnsiTheme="minorHAnsi" w:cstheme="minorHAnsi"/>
          <w:b/>
          <w:sz w:val="22"/>
          <w:szCs w:val="22"/>
          <w:lang w:eastAsia="zh-CN"/>
        </w:rPr>
        <w:t xml:space="preserve">Kişisel Verilerin Korunması </w:t>
      </w:r>
    </w:p>
    <w:p w14:paraId="5209B79E" w14:textId="59FE2E67" w:rsidR="001000FF" w:rsidRPr="00794C0F" w:rsidRDefault="001000FF" w:rsidP="001000FF">
      <w:pPr>
        <w:spacing w:before="240" w:after="240"/>
        <w:jc w:val="both"/>
        <w:rPr>
          <w:rFonts w:ascii="Calibri" w:hAnsi="Calibri"/>
        </w:rPr>
      </w:pPr>
      <w:r>
        <w:rPr>
          <w:rFonts w:ascii="Calibri" w:hAnsi="Calibri"/>
        </w:rPr>
        <w:t xml:space="preserve">Yüklenici, </w:t>
      </w:r>
      <w:r w:rsidRPr="00794C0F">
        <w:rPr>
          <w:rFonts w:ascii="Calibri" w:hAnsi="Calibri"/>
        </w:rPr>
        <w:t xml:space="preserve">TTG tarafından kendisi ile paylaşılacak olan ve 6698 sayılı </w:t>
      </w:r>
      <w:r>
        <w:rPr>
          <w:rFonts w:ascii="Calibri" w:hAnsi="Calibri"/>
        </w:rPr>
        <w:t>Kişisel Verilerin Korunması Kanunu (“KVKK”)</w:t>
      </w:r>
      <w:r w:rsidRPr="00794C0F">
        <w:rPr>
          <w:rFonts w:ascii="Calibri" w:hAnsi="Calibri"/>
        </w:rPr>
        <w:t xml:space="preserve"> ve ilgili sair </w:t>
      </w:r>
      <w:r>
        <w:rPr>
          <w:rFonts w:ascii="Calibri" w:hAnsi="Calibri"/>
        </w:rPr>
        <w:t xml:space="preserve">mevzuat hükümleri </w:t>
      </w:r>
      <w:r w:rsidRPr="00794C0F">
        <w:rPr>
          <w:rFonts w:ascii="Calibri" w:hAnsi="Calibri"/>
        </w:rPr>
        <w:t xml:space="preserve">kapsamında </w:t>
      </w:r>
      <w:r>
        <w:rPr>
          <w:rFonts w:ascii="Calibri" w:hAnsi="Calibri"/>
        </w:rPr>
        <w:t>“</w:t>
      </w:r>
      <w:r w:rsidRPr="00794C0F">
        <w:rPr>
          <w:rFonts w:ascii="Calibri" w:hAnsi="Calibri"/>
        </w:rPr>
        <w:t>Kişisel Veri</w:t>
      </w:r>
      <w:r>
        <w:rPr>
          <w:rFonts w:ascii="Calibri" w:hAnsi="Calibri"/>
        </w:rPr>
        <w:t>”</w:t>
      </w:r>
      <w:r w:rsidRPr="00794C0F">
        <w:rPr>
          <w:rFonts w:ascii="Calibri" w:hAnsi="Calibri"/>
        </w:rPr>
        <w:t xml:space="preserve"> olarak tanımlanan her türlü veriyi ancak ve sadece </w:t>
      </w:r>
      <w:r>
        <w:rPr>
          <w:rFonts w:ascii="Calibri" w:hAnsi="Calibri"/>
        </w:rPr>
        <w:t>işbu S</w:t>
      </w:r>
      <w:r w:rsidRPr="00794C0F">
        <w:rPr>
          <w:rFonts w:ascii="Calibri" w:hAnsi="Calibri"/>
        </w:rPr>
        <w:t>özleşme</w:t>
      </w:r>
      <w:r>
        <w:rPr>
          <w:rFonts w:ascii="Calibri" w:hAnsi="Calibri"/>
        </w:rPr>
        <w:t>’</w:t>
      </w:r>
      <w:r w:rsidRPr="00794C0F">
        <w:rPr>
          <w:rFonts w:ascii="Calibri" w:hAnsi="Calibri"/>
        </w:rPr>
        <w:t>nin ifası kapsamında ku</w:t>
      </w:r>
      <w:r>
        <w:rPr>
          <w:rFonts w:ascii="Calibri" w:hAnsi="Calibri"/>
        </w:rPr>
        <w:t xml:space="preserve">llanmakla yükümlüdür. Yüklenici </w:t>
      </w:r>
      <w:r w:rsidRPr="00794C0F">
        <w:rPr>
          <w:rFonts w:ascii="Calibri" w:hAnsi="Calibri"/>
        </w:rPr>
        <w:t xml:space="preserve">işbu verileri, hiçbir şekilde üçüncü kişi ya da kurumlara aktaramaz veya başka bir çalışmada kullanamaz, bu bilgilerin gizliliğinin </w:t>
      </w:r>
      <w:r>
        <w:rPr>
          <w:rFonts w:ascii="Calibri" w:hAnsi="Calibri"/>
        </w:rPr>
        <w:t>sağlanmasından bizzat Yüklenici sorumludur. Yüklenici, işbu S</w:t>
      </w:r>
      <w:r w:rsidRPr="00794C0F">
        <w:rPr>
          <w:rFonts w:ascii="Calibri" w:hAnsi="Calibri"/>
        </w:rPr>
        <w:t>özleşme konusu hizmetle ilgili olarak yaptığı</w:t>
      </w:r>
      <w:r>
        <w:rPr>
          <w:rFonts w:ascii="Calibri" w:hAnsi="Calibri"/>
        </w:rPr>
        <w:t xml:space="preserve"> çalışmalar sonucunda edindiği k</w:t>
      </w:r>
      <w:r w:rsidRPr="00794C0F">
        <w:rPr>
          <w:rFonts w:ascii="Calibri" w:hAnsi="Calibri"/>
        </w:rPr>
        <w:t>işisel verileri ve ilgili belgeleri başka bir çalışmada kullanamaz, dağıtamaz ve üçüncü kişilere ya da kurumlara aktaramaz.</w:t>
      </w:r>
    </w:p>
    <w:p w14:paraId="59D602B0" w14:textId="53553CD1" w:rsidR="001000FF" w:rsidRPr="00794C0F" w:rsidRDefault="001000FF" w:rsidP="001000FF">
      <w:pPr>
        <w:spacing w:before="240" w:after="240"/>
        <w:jc w:val="both"/>
        <w:rPr>
          <w:rFonts w:ascii="Calibri" w:hAnsi="Calibri"/>
        </w:rPr>
      </w:pPr>
      <w:r w:rsidRPr="001000FF">
        <w:rPr>
          <w:rFonts w:ascii="Calibri" w:hAnsi="Calibri"/>
        </w:rPr>
        <w:t>Yüklenici, işbu Sözleşme’nin ifası sırasında öğrendiği bilgilerin gizliliğini sağlamak, bu hususta her önlemi</w:t>
      </w:r>
      <w:r w:rsidRPr="00794C0F">
        <w:rPr>
          <w:rFonts w:ascii="Calibri" w:hAnsi="Calibri"/>
        </w:rPr>
        <w:t xml:space="preserve"> almak, gizlilik esaslarına uygun hareket etmek, bu bilgilerin yetkisiz kişilerce kullanımını önlemek ve her türlü suistimalden korumak için her türlü önlemi a</w:t>
      </w:r>
      <w:r>
        <w:rPr>
          <w:rFonts w:ascii="Calibri" w:hAnsi="Calibri"/>
        </w:rPr>
        <w:t xml:space="preserve">lmakla yükümlüdür. Yüklenici’nin </w:t>
      </w:r>
      <w:r w:rsidRPr="00794C0F">
        <w:rPr>
          <w:rFonts w:ascii="Calibri" w:hAnsi="Calibri"/>
        </w:rPr>
        <w:t>bu yükümlülüğü, işbu sözleşmenin sona ermesi halinde dahi süresiz olarak devam edecektir.</w:t>
      </w:r>
    </w:p>
    <w:p w14:paraId="0231EF0F" w14:textId="02576C3D" w:rsidR="001000FF" w:rsidRPr="00794C0F" w:rsidRDefault="001000FF" w:rsidP="001000FF">
      <w:pPr>
        <w:spacing w:before="240" w:after="240"/>
        <w:jc w:val="both"/>
        <w:rPr>
          <w:rFonts w:ascii="Calibri" w:hAnsi="Calibri"/>
        </w:rPr>
      </w:pPr>
      <w:r w:rsidRPr="001000FF">
        <w:rPr>
          <w:rFonts w:ascii="Calibri" w:hAnsi="Calibri"/>
        </w:rPr>
        <w:t>Yüklenici,</w:t>
      </w:r>
      <w:r>
        <w:rPr>
          <w:rFonts w:ascii="Calibri" w:hAnsi="Calibri"/>
          <w:b/>
        </w:rPr>
        <w:t xml:space="preserve"> </w:t>
      </w:r>
      <w:r w:rsidRPr="00794C0F">
        <w:rPr>
          <w:rFonts w:ascii="Calibri" w:hAnsi="Calibri"/>
        </w:rPr>
        <w:t>kişisel verilerin hukuka aykı</w:t>
      </w:r>
      <w:r>
        <w:rPr>
          <w:rFonts w:ascii="Calibri" w:hAnsi="Calibri"/>
        </w:rPr>
        <w:t>rı olarak işlenmesini önlemek, k</w:t>
      </w:r>
      <w:r w:rsidRPr="00794C0F">
        <w:rPr>
          <w:rFonts w:ascii="Calibri" w:hAnsi="Calibri"/>
        </w:rPr>
        <w:t>işisel verilere hukuka aykır</w:t>
      </w:r>
      <w:r>
        <w:rPr>
          <w:rFonts w:ascii="Calibri" w:hAnsi="Calibri"/>
        </w:rPr>
        <w:t>ı olarak erişilmesini önlemek, k</w:t>
      </w:r>
      <w:r w:rsidRPr="00794C0F">
        <w:rPr>
          <w:rFonts w:ascii="Calibri" w:hAnsi="Calibri"/>
        </w:rPr>
        <w:t>işisel verilerin muhafazasını sağlamak amacıyla azami güvenlik düzeyini temin edici her türlü teknik ve idari tedbirleri almak zorundadır.</w:t>
      </w:r>
      <w:r>
        <w:rPr>
          <w:rFonts w:ascii="Calibri" w:hAnsi="Calibri"/>
        </w:rPr>
        <w:t xml:space="preserve"> </w:t>
      </w:r>
      <w:r w:rsidRPr="00794C0F">
        <w:rPr>
          <w:rFonts w:ascii="Calibri" w:hAnsi="Calibri"/>
        </w:rPr>
        <w:t xml:space="preserve">Bu hükmün ihlali halinde doğabilecek her türlü hukuki, idari </w:t>
      </w:r>
      <w:r>
        <w:rPr>
          <w:rFonts w:ascii="Calibri" w:hAnsi="Calibri"/>
        </w:rPr>
        <w:t>ve cezai sorumluluk Yüklenici’ye</w:t>
      </w:r>
      <w:r w:rsidRPr="00794C0F">
        <w:rPr>
          <w:rFonts w:ascii="Calibri" w:hAnsi="Calibri"/>
        </w:rPr>
        <w:t xml:space="preserve"> ait olup, işbu hükümlerin ihlalinden doğacak her türlü zarar</w:t>
      </w:r>
      <w:r>
        <w:rPr>
          <w:rFonts w:ascii="Calibri" w:hAnsi="Calibri"/>
        </w:rPr>
        <w:t xml:space="preserve">ın tazmini de yine Yüklenici’ye aittir. Yüklenici </w:t>
      </w:r>
      <w:r w:rsidRPr="00794C0F">
        <w:rPr>
          <w:rFonts w:ascii="Calibri" w:hAnsi="Calibri"/>
        </w:rPr>
        <w:t>bu zararları derhal tazmin etmekle mükelleftir. Böyle bir ihlalin gerçekleşmesi durumunda TTG herhangi bir tazminat ödemeksizin sözleşmeyi derhal fesh etme hakkına sahiptir.</w:t>
      </w:r>
      <w:r>
        <w:rPr>
          <w:rFonts w:ascii="Calibri" w:hAnsi="Calibri"/>
        </w:rPr>
        <w:t xml:space="preserve"> </w:t>
      </w:r>
      <w:r w:rsidRPr="00794C0F">
        <w:rPr>
          <w:rFonts w:ascii="Calibri" w:hAnsi="Calibri"/>
        </w:rPr>
        <w:t>Ayrıca, sorumlular aleyhinde TTG ve/veya zarara uğrayan kişiler tarafından Cumhuriyet Savcılığı’na yazılı ba</w:t>
      </w:r>
      <w:r w:rsidRPr="003E5C45">
        <w:rPr>
          <w:rFonts w:ascii="Calibri" w:hAnsi="Calibri"/>
        </w:rPr>
        <w:t>şvuruda bulunma hakkı saklıdır.</w:t>
      </w:r>
    </w:p>
    <w:p w14:paraId="50ACD31D" w14:textId="03A8E4E0" w:rsidR="001000FF" w:rsidRPr="00794C0F" w:rsidRDefault="001000FF" w:rsidP="001000FF">
      <w:pPr>
        <w:spacing w:before="240" w:after="240"/>
        <w:jc w:val="both"/>
        <w:rPr>
          <w:rFonts w:ascii="Calibri" w:hAnsi="Calibri"/>
        </w:rPr>
      </w:pPr>
      <w:r w:rsidRPr="001000FF">
        <w:rPr>
          <w:rFonts w:ascii="Calibri" w:hAnsi="Calibri"/>
        </w:rPr>
        <w:lastRenderedPageBreak/>
        <w:t>TTG, Yüklenici’nin işbu hükümleri ihlal etmesi neticesinde; ilgili yasal düzenlemeler kapsamında idari para cezası ya da 3. Kişilere tazminat ödemek zorunda kalır ise, işbu tazminat tutarı ve ferileri TTG tarafından</w:t>
      </w:r>
      <w:r>
        <w:rPr>
          <w:rFonts w:ascii="Calibri" w:hAnsi="Calibri"/>
        </w:rPr>
        <w:t xml:space="preserve"> Yüklenici’den talep edilecektir. Yüklenici,</w:t>
      </w:r>
      <w:r w:rsidRPr="00794C0F">
        <w:rPr>
          <w:rFonts w:ascii="Calibri" w:hAnsi="Calibri"/>
        </w:rPr>
        <w:t xml:space="preserve"> işbu talebi aldıktan sonra </w:t>
      </w:r>
      <w:r>
        <w:rPr>
          <w:rFonts w:ascii="Calibri" w:hAnsi="Calibri"/>
        </w:rPr>
        <w:t>…</w:t>
      </w:r>
      <w:r w:rsidRPr="00794C0F">
        <w:rPr>
          <w:rFonts w:ascii="Calibri" w:hAnsi="Calibri"/>
        </w:rPr>
        <w:t xml:space="preserve"> (gün) içerisinde ilgili tutarı TTG’ye ödeyecektir. Ödeme yapılmaması halinde ise, TTG’nin bu tutarı, T.C. Merkez Bankasına bildirmiş olduğu kısa, orta ve uzun vadeli cari faizlerden en yüksek olanın yüzde elli fazlası olarak hesaplanacak oranda te</w:t>
      </w:r>
      <w:r>
        <w:rPr>
          <w:rFonts w:ascii="Calibri" w:hAnsi="Calibri"/>
        </w:rPr>
        <w:t xml:space="preserve">merrüt faizi ile birlikte Yüklenici’den talep </w:t>
      </w:r>
      <w:r w:rsidRPr="00794C0F">
        <w:rPr>
          <w:rFonts w:ascii="Calibri" w:hAnsi="Calibri"/>
        </w:rPr>
        <w:t xml:space="preserve">etme hak ve yetkisi mevcuttur. </w:t>
      </w:r>
    </w:p>
    <w:p w14:paraId="112BD003" w14:textId="485C9D88" w:rsidR="001000FF" w:rsidRPr="00794C0F" w:rsidRDefault="001000FF" w:rsidP="001000FF">
      <w:pPr>
        <w:spacing w:before="240" w:after="240"/>
        <w:jc w:val="both"/>
        <w:rPr>
          <w:rFonts w:ascii="Calibri" w:hAnsi="Calibri"/>
        </w:rPr>
      </w:pPr>
      <w:r w:rsidRPr="001000FF">
        <w:rPr>
          <w:rFonts w:ascii="Calibri" w:hAnsi="Calibri"/>
        </w:rPr>
        <w:t>Yüklenici, kendi</w:t>
      </w:r>
      <w:r w:rsidRPr="00794C0F">
        <w:rPr>
          <w:rFonts w:ascii="Calibri" w:hAnsi="Calibri"/>
        </w:rPr>
        <w:t xml:space="preserve"> merkezl</w:t>
      </w:r>
      <w:r w:rsidRPr="0017466B">
        <w:rPr>
          <w:rFonts w:ascii="Calibri" w:hAnsi="Calibri"/>
        </w:rPr>
        <w:t>erinde veya iştiraklerinde veya</w:t>
      </w:r>
      <w:r w:rsidRPr="00794C0F">
        <w:rPr>
          <w:rFonts w:ascii="Calibri" w:hAnsi="Calibri"/>
        </w:rPr>
        <w:t xml:space="preserve"> TTG’nin yazılı onayı ile çalışılan alt yüklenici firmalarda, </w:t>
      </w:r>
      <w:r>
        <w:rPr>
          <w:rFonts w:ascii="Calibri" w:hAnsi="Calibri"/>
        </w:rPr>
        <w:t xml:space="preserve">KVKK </w:t>
      </w:r>
      <w:r w:rsidRPr="00794C0F">
        <w:rPr>
          <w:rFonts w:ascii="Calibri" w:hAnsi="Calibri"/>
        </w:rPr>
        <w:t>hükümlerinin uygulanmasını sağlamak amacıyla gerekli denetimleri yapmak v</w:t>
      </w:r>
      <w:r w:rsidR="00063763">
        <w:rPr>
          <w:rFonts w:ascii="Calibri" w:hAnsi="Calibri"/>
        </w:rPr>
        <w:t>eya yaptırmak zorundadır. Yüklenici işbu S</w:t>
      </w:r>
      <w:r w:rsidRPr="00794C0F">
        <w:rPr>
          <w:rFonts w:ascii="Calibri" w:hAnsi="Calibri"/>
        </w:rPr>
        <w:t>özleşmeyi imzalamakla, TTG’nin iç sistemler birimleri ile bağımsız dış denetçisinin ve Kişisel Verileri Koruma Kurulu’nun, işbu sözleşmeye istinaden alınan hizmet ile ilgili olarak kendisinden her türlü bilgi ve belgeyi talep etme yetkisinin bulundu</w:t>
      </w:r>
      <w:r w:rsidRPr="0017466B">
        <w:rPr>
          <w:rFonts w:ascii="Calibri" w:hAnsi="Calibri"/>
        </w:rPr>
        <w:t>ğunu kabul ve taahhüt etmiştir.</w:t>
      </w:r>
    </w:p>
    <w:p w14:paraId="58D7D0B7" w14:textId="7A27B7CA" w:rsidR="001000FF" w:rsidRPr="00AF714E" w:rsidRDefault="00063763" w:rsidP="001000FF">
      <w:pPr>
        <w:spacing w:before="240" w:after="240"/>
        <w:jc w:val="both"/>
        <w:rPr>
          <w:rFonts w:ascii="Calibri" w:hAnsi="Calibri"/>
          <w:kern w:val="32"/>
        </w:rPr>
      </w:pPr>
      <w:r w:rsidRPr="00063763">
        <w:rPr>
          <w:rFonts w:ascii="Calibri" w:hAnsi="Calibri"/>
        </w:rPr>
        <w:t>Yüklenici, işbu</w:t>
      </w:r>
      <w:r>
        <w:rPr>
          <w:rFonts w:ascii="Calibri" w:hAnsi="Calibri"/>
        </w:rPr>
        <w:t xml:space="preserve"> S</w:t>
      </w:r>
      <w:r w:rsidR="001000FF" w:rsidRPr="00794C0F">
        <w:rPr>
          <w:rFonts w:ascii="Calibri" w:hAnsi="Calibri"/>
        </w:rPr>
        <w:t>özleşme</w:t>
      </w:r>
      <w:r>
        <w:rPr>
          <w:rFonts w:ascii="Calibri" w:hAnsi="Calibri"/>
        </w:rPr>
        <w:t>’</w:t>
      </w:r>
      <w:r w:rsidR="001000FF" w:rsidRPr="00794C0F">
        <w:rPr>
          <w:rFonts w:ascii="Calibri" w:hAnsi="Calibri"/>
        </w:rPr>
        <w:t>nin ifasi kapsamında işlenen kişisel verilerin kanuni olmayan yollarla başkaları tarafından</w:t>
      </w:r>
      <w:r w:rsidR="001000FF" w:rsidRPr="003E5C45">
        <w:rPr>
          <w:rFonts w:ascii="Calibri" w:hAnsi="Calibri"/>
          <w:kern w:val="32"/>
        </w:rPr>
        <w:t xml:space="preserve"> elde edilmesi hâlinde, bu durumu derhal TTG’ye ve </w:t>
      </w:r>
      <w:r w:rsidR="001000FF">
        <w:rPr>
          <w:rFonts w:ascii="Calibri" w:hAnsi="Calibri"/>
          <w:kern w:val="32"/>
        </w:rPr>
        <w:t>KVKK’nın 21. m</w:t>
      </w:r>
      <w:r w:rsidR="001000FF" w:rsidRPr="003E5C45">
        <w:rPr>
          <w:rFonts w:ascii="Calibri" w:hAnsi="Calibri"/>
          <w:kern w:val="32"/>
        </w:rPr>
        <w:t xml:space="preserve">addesi uyarınca oluşturulacak Kişisel Verileri Koruma Kurulu’na bildirir. </w:t>
      </w:r>
    </w:p>
    <w:p w14:paraId="6A6EDD36" w14:textId="33C7EDCE" w:rsidR="001000FF" w:rsidRPr="00794C0F" w:rsidRDefault="00063763" w:rsidP="001000FF">
      <w:pPr>
        <w:spacing w:before="240" w:after="240"/>
        <w:jc w:val="both"/>
        <w:rPr>
          <w:rFonts w:ascii="Calibri" w:hAnsi="Calibri"/>
        </w:rPr>
      </w:pPr>
      <w:r w:rsidRPr="00063763">
        <w:rPr>
          <w:rFonts w:ascii="Calibri" w:hAnsi="Calibri"/>
        </w:rPr>
        <w:t xml:space="preserve">Yüklenici </w:t>
      </w:r>
      <w:r w:rsidR="001000FF" w:rsidRPr="00063763">
        <w:rPr>
          <w:rFonts w:ascii="Calibri" w:hAnsi="Calibri"/>
        </w:rPr>
        <w:t>KVKK’nın 22. maddesi kapsamında Kişisel Verileri Koruma Kurulu’na verilen yetkiler kapsamında yapılacak denetimlerde</w:t>
      </w:r>
      <w:r w:rsidR="001000FF" w:rsidRPr="00794C0F">
        <w:rPr>
          <w:rFonts w:ascii="Calibri" w:hAnsi="Calibri"/>
        </w:rPr>
        <w:t xml:space="preserve"> Kurul tarafından talep edilecek her türlü bilgi ve belgeyi zamanında ve doğru olarak vermekle ve bunlara ilişkin her türlü elektronik, manyetik ve benzeri ortamlardaki kayıtları ve bu kayıtlara erişim ve kayıtları okunabilir hale getirmek için gerekli tüm sistem ve şifreleri incelemeye hazır bulundurmak ve işletmekle yükümlüdür</w:t>
      </w:r>
    </w:p>
    <w:p w14:paraId="3A294D90" w14:textId="0337C148" w:rsidR="001000FF" w:rsidRPr="00794C0F" w:rsidRDefault="00063763" w:rsidP="001000FF">
      <w:pPr>
        <w:spacing w:before="240" w:after="240"/>
        <w:jc w:val="both"/>
        <w:rPr>
          <w:rFonts w:ascii="Calibri" w:hAnsi="Calibri"/>
        </w:rPr>
      </w:pPr>
      <w:r w:rsidRPr="00063763">
        <w:rPr>
          <w:rFonts w:ascii="Calibri" w:hAnsi="Calibri"/>
        </w:rPr>
        <w:t xml:space="preserve">Yüklenici </w:t>
      </w:r>
      <w:r w:rsidR="001000FF" w:rsidRPr="00063763">
        <w:rPr>
          <w:rFonts w:ascii="Calibri" w:hAnsi="Calibri"/>
        </w:rPr>
        <w:t>T</w:t>
      </w:r>
      <w:r w:rsidR="001000FF" w:rsidRPr="00794C0F">
        <w:rPr>
          <w:rFonts w:ascii="Calibri" w:hAnsi="Calibri"/>
        </w:rPr>
        <w:t xml:space="preserve">TG tarafından kendisine teslim edilen kişisel verilerin muhafazası ve açıklanmaması için her türlü güvenlik önlemlerini almak, personelini bilgilendirmek ve bunları sürdürmekle mükelleftir. </w:t>
      </w:r>
      <w:r>
        <w:rPr>
          <w:rFonts w:ascii="Calibri" w:hAnsi="Calibri"/>
        </w:rPr>
        <w:t xml:space="preserve">Yüklenici </w:t>
      </w:r>
      <w:r w:rsidR="001000FF" w:rsidRPr="00794C0F">
        <w:rPr>
          <w:rFonts w:ascii="Calibri" w:hAnsi="Calibri"/>
        </w:rPr>
        <w:t>kendi personelinin ister kendi bünyesinde çalıştığı dönemde isterse ayrılmasını müteakip herhangi bir şekilde işbu sözleşm</w:t>
      </w:r>
      <w:r>
        <w:rPr>
          <w:rFonts w:ascii="Calibri" w:hAnsi="Calibri"/>
        </w:rPr>
        <w:t>enin ifası kapsamında edinilen k</w:t>
      </w:r>
      <w:r w:rsidR="001000FF" w:rsidRPr="00794C0F">
        <w:rPr>
          <w:rFonts w:ascii="Calibri" w:hAnsi="Calibri"/>
        </w:rPr>
        <w:t>işisel verileri üçüncü kişilere açıklaması halinde doğabilecek her türlü zararlardan dolay</w:t>
      </w:r>
      <w:r w:rsidR="001000FF" w:rsidRPr="003E5C45">
        <w:rPr>
          <w:rFonts w:ascii="Calibri" w:hAnsi="Calibri"/>
        </w:rPr>
        <w:t>ı münhasıran sorumlu olacaktır.</w:t>
      </w:r>
    </w:p>
    <w:p w14:paraId="5D916B32" w14:textId="6C7ABAAE" w:rsidR="001000FF" w:rsidRPr="00AF714E" w:rsidRDefault="00063763" w:rsidP="001000FF">
      <w:pPr>
        <w:spacing w:before="240" w:after="240"/>
        <w:jc w:val="both"/>
        <w:rPr>
          <w:rFonts w:ascii="Calibri" w:hAnsi="Calibri"/>
          <w:kern w:val="32"/>
        </w:rPr>
      </w:pPr>
      <w:r>
        <w:rPr>
          <w:rFonts w:ascii="Calibri" w:hAnsi="Calibri"/>
        </w:rPr>
        <w:t>Yüklenici, işbu S</w:t>
      </w:r>
      <w:r w:rsidR="001000FF" w:rsidRPr="00794C0F">
        <w:rPr>
          <w:rFonts w:ascii="Calibri" w:hAnsi="Calibri"/>
        </w:rPr>
        <w:t>özleşme</w:t>
      </w:r>
      <w:r>
        <w:rPr>
          <w:rFonts w:ascii="Calibri" w:hAnsi="Calibri"/>
        </w:rPr>
        <w:t>’</w:t>
      </w:r>
      <w:r w:rsidR="001000FF" w:rsidRPr="00794C0F">
        <w:rPr>
          <w:rFonts w:ascii="Calibri" w:hAnsi="Calibri"/>
        </w:rPr>
        <w:t>ye konu hizmetin ifasında, TTG’nin yazılı onayı ile alt yüklenici kullanılması halinde, yukarıdaki yer alan hükümlere, alt yüklenici firmalar ile yapılacak sözleşmelerde de aynen yer verileceğini ve bu firmaların işbu hükümleri ihlal etmesinden kaynaklanabilecek her türlü zararın</w:t>
      </w:r>
      <w:r w:rsidR="001000FF" w:rsidRPr="003E5C45">
        <w:rPr>
          <w:rFonts w:ascii="Calibri" w:hAnsi="Calibri"/>
          <w:kern w:val="32"/>
        </w:rPr>
        <w:t xml:space="preserve"> tazmininden, bu firmalarla birlikte müşterek ve müteselsilen sorumluluğu bulunduğunu kabul ve taahhüt etmiştir.</w:t>
      </w:r>
    </w:p>
    <w:p w14:paraId="12347ECA" w14:textId="77777777" w:rsidR="00E15493" w:rsidRPr="008E71A0" w:rsidRDefault="00E15493" w:rsidP="00696B5D">
      <w:pPr>
        <w:pStyle w:val="ListParagraph"/>
        <w:numPr>
          <w:ilvl w:val="0"/>
          <w:numId w:val="5"/>
        </w:numPr>
        <w:spacing w:before="240" w:after="240" w:line="276" w:lineRule="auto"/>
        <w:contextualSpacing/>
        <w:jc w:val="both"/>
        <w:rPr>
          <w:rFonts w:asciiTheme="minorHAnsi" w:eastAsia="Calibri" w:hAnsiTheme="minorHAnsi" w:cstheme="minorHAnsi"/>
          <w:sz w:val="22"/>
          <w:szCs w:val="22"/>
          <w:lang w:eastAsia="zh-CN"/>
        </w:rPr>
      </w:pPr>
      <w:r w:rsidRPr="008E71A0">
        <w:rPr>
          <w:rFonts w:asciiTheme="minorHAnsi" w:hAnsiTheme="minorHAnsi" w:cstheme="minorHAnsi"/>
          <w:b/>
          <w:bCs/>
          <w:sz w:val="22"/>
          <w:szCs w:val="22"/>
        </w:rPr>
        <w:t xml:space="preserve">SÜRE VE YÜRÜRLÜK </w:t>
      </w:r>
    </w:p>
    <w:p w14:paraId="02F0BE43" w14:textId="0C3C97B2" w:rsidR="00E15493" w:rsidRPr="008E71A0" w:rsidRDefault="00E15493" w:rsidP="00696B5D">
      <w:pPr>
        <w:tabs>
          <w:tab w:val="left" w:pos="426"/>
        </w:tabs>
        <w:spacing w:after="240" w:line="276" w:lineRule="auto"/>
        <w:jc w:val="both"/>
        <w:rPr>
          <w:rFonts w:eastAsia="Calibri" w:cstheme="minorHAnsi"/>
        </w:rPr>
      </w:pPr>
      <w:r w:rsidRPr="008E71A0">
        <w:rPr>
          <w:rFonts w:cstheme="minorHAnsi"/>
        </w:rPr>
        <w:t>İşbu Sözleşme yürürlük tarihinden itibaren</w:t>
      </w:r>
      <w:r w:rsidR="00A5362D">
        <w:rPr>
          <w:rFonts w:cstheme="minorHAnsi"/>
        </w:rPr>
        <w:t>………………….</w:t>
      </w:r>
      <w:r w:rsidRPr="008E71A0">
        <w:rPr>
          <w:rFonts w:cstheme="minorHAnsi"/>
        </w:rPr>
        <w:t xml:space="preserve"> yıl süre ile yürürlükte kalacaktır. Sözleşme sona erme tarihinden 1 (bir) ay öncesine kadar Sözleşme’nin sona ermesi için Taraflar’dan birinin diğer Taraf’a yazılı bildirimde bulunmaması durumunda, Sözleşme aynı şartlarla 1 (bir) yıl süre ile uzar. Bu durum devam e</w:t>
      </w:r>
      <w:r w:rsidR="00A5362D">
        <w:rPr>
          <w:rFonts w:cstheme="minorHAnsi"/>
        </w:rPr>
        <w:t xml:space="preserve">den yıllar için de geçerlidir. </w:t>
      </w:r>
      <w:r w:rsidRPr="008E71A0">
        <w:rPr>
          <w:rFonts w:cstheme="minorHAnsi"/>
        </w:rPr>
        <w:t xml:space="preserve">Eğer yürürlükte işbu Sözleşme’ye atıf yapılarak çıkarılmış bir Satın Alma Siparişi varsa, Sözleşme herhangi bir sebeple sona ermiş olsa dahi Sözleşme gerektiğinde ilgili Satın Alma Siparişi için uygulanmaya devam edecektir.   </w:t>
      </w:r>
    </w:p>
    <w:p w14:paraId="68BFD0A0" w14:textId="24C73CC6" w:rsidR="00E15493" w:rsidRPr="008E71A0" w:rsidRDefault="00E15493" w:rsidP="00696B5D">
      <w:pPr>
        <w:spacing w:after="240" w:line="276" w:lineRule="auto"/>
        <w:jc w:val="both"/>
        <w:rPr>
          <w:rFonts w:cstheme="minorHAnsi"/>
        </w:rPr>
      </w:pPr>
      <w:r w:rsidRPr="008E71A0">
        <w:rPr>
          <w:rFonts w:cstheme="minorHAnsi"/>
        </w:rPr>
        <w:lastRenderedPageBreak/>
        <w:t xml:space="preserve">18 (onsekiz) ana maddeden oluşan bu Sözleşme, Taraflar’ın yetkili temsilcilerince okunarak 1 (bir) asıl nüsha halinde  …../…../…..  tarihinde yürürlüğe girmek üzere .../…../...... tarihinde imzalanmıştır. Asıl Sözleşme nüshası Türk Telekom’da kalacaktır. </w:t>
      </w:r>
    </w:p>
    <w:p w14:paraId="52613DAB" w14:textId="641393B4" w:rsidR="0014212D" w:rsidRPr="0014212D" w:rsidRDefault="00E15493" w:rsidP="008E71A0">
      <w:pPr>
        <w:tabs>
          <w:tab w:val="left" w:pos="567"/>
        </w:tabs>
        <w:spacing w:after="0" w:line="240" w:lineRule="auto"/>
        <w:rPr>
          <w:rFonts w:cstheme="minorHAnsi"/>
          <w:bCs/>
          <w:snapToGrid w:val="0"/>
        </w:rPr>
      </w:pPr>
      <w:r w:rsidRPr="008E71A0">
        <w:rPr>
          <w:rFonts w:cstheme="minorHAnsi"/>
          <w:b/>
        </w:rPr>
        <w:t xml:space="preserve">Ekler:    </w:t>
      </w:r>
      <w:r w:rsidR="0014212D">
        <w:rPr>
          <w:rFonts w:cstheme="minorHAnsi"/>
          <w:b/>
        </w:rPr>
        <w:t xml:space="preserve"> </w:t>
      </w:r>
      <w:r w:rsidRPr="008E71A0">
        <w:rPr>
          <w:rFonts w:cstheme="minorHAnsi"/>
          <w:b/>
          <w:bCs/>
          <w:snapToGrid w:val="0"/>
        </w:rPr>
        <w:t>1</w:t>
      </w:r>
      <w:r w:rsidR="0014212D">
        <w:rPr>
          <w:rFonts w:cstheme="minorHAnsi"/>
          <w:b/>
          <w:bCs/>
          <w:snapToGrid w:val="0"/>
        </w:rPr>
        <w:t xml:space="preserve">- </w:t>
      </w:r>
      <w:r w:rsidR="0014212D" w:rsidRPr="0014212D">
        <w:rPr>
          <w:rFonts w:cstheme="minorHAnsi"/>
          <w:bCs/>
          <w:snapToGrid w:val="0"/>
        </w:rPr>
        <w:t>Teknik Şartname</w:t>
      </w:r>
    </w:p>
    <w:p w14:paraId="7DC6F5EC" w14:textId="3E5AF46C" w:rsidR="0014212D" w:rsidRPr="0014212D" w:rsidRDefault="0014212D" w:rsidP="008E71A0">
      <w:pPr>
        <w:tabs>
          <w:tab w:val="left" w:pos="567"/>
        </w:tabs>
        <w:spacing w:after="0" w:line="240" w:lineRule="auto"/>
        <w:rPr>
          <w:rFonts w:cstheme="minorHAnsi"/>
          <w:bCs/>
          <w:snapToGrid w:val="0"/>
        </w:rPr>
      </w:pPr>
      <w:r w:rsidRPr="0014212D">
        <w:rPr>
          <w:rFonts w:cstheme="minorHAnsi"/>
          <w:bCs/>
          <w:snapToGrid w:val="0"/>
        </w:rPr>
        <w:t xml:space="preserve">             </w:t>
      </w:r>
      <w:r>
        <w:rPr>
          <w:rFonts w:cstheme="minorHAnsi"/>
          <w:bCs/>
          <w:snapToGrid w:val="0"/>
        </w:rPr>
        <w:t xml:space="preserve"> </w:t>
      </w:r>
      <w:r w:rsidRPr="0014212D">
        <w:rPr>
          <w:rFonts w:cstheme="minorHAnsi"/>
          <w:bCs/>
          <w:snapToGrid w:val="0"/>
        </w:rPr>
        <w:t xml:space="preserve"> </w:t>
      </w:r>
      <w:r w:rsidRPr="0014212D">
        <w:rPr>
          <w:rFonts w:cstheme="minorHAnsi"/>
          <w:b/>
          <w:bCs/>
          <w:snapToGrid w:val="0"/>
        </w:rPr>
        <w:t>2-</w:t>
      </w:r>
      <w:r w:rsidRPr="0014212D">
        <w:rPr>
          <w:rFonts w:cstheme="minorHAnsi"/>
          <w:bCs/>
          <w:snapToGrid w:val="0"/>
        </w:rPr>
        <w:t xml:space="preserve"> Birim Fiyat Tablosu</w:t>
      </w:r>
    </w:p>
    <w:p w14:paraId="70072FEF" w14:textId="562E4819" w:rsidR="008E71A0" w:rsidRDefault="0014212D" w:rsidP="0014212D">
      <w:pPr>
        <w:widowControl w:val="0"/>
        <w:spacing w:after="0" w:line="240" w:lineRule="auto"/>
        <w:ind w:firstLine="720"/>
        <w:jc w:val="both"/>
        <w:rPr>
          <w:rFonts w:cstheme="minorHAnsi"/>
          <w:bCs/>
          <w:snapToGrid w:val="0"/>
        </w:rPr>
      </w:pPr>
      <w:r>
        <w:rPr>
          <w:rFonts w:cstheme="minorHAnsi"/>
          <w:b/>
          <w:bCs/>
          <w:snapToGrid w:val="0"/>
        </w:rPr>
        <w:t>3</w:t>
      </w:r>
      <w:r w:rsidR="00E15493" w:rsidRPr="00696B5D">
        <w:rPr>
          <w:rFonts w:cstheme="minorHAnsi"/>
          <w:bCs/>
          <w:snapToGrid w:val="0"/>
        </w:rPr>
        <w:t xml:space="preserve"> </w:t>
      </w:r>
      <w:r w:rsidR="00E15493" w:rsidRPr="00696B5D">
        <w:rPr>
          <w:rFonts w:cstheme="minorHAnsi"/>
          <w:b/>
          <w:bCs/>
          <w:snapToGrid w:val="0"/>
        </w:rPr>
        <w:t>-</w:t>
      </w:r>
      <w:r w:rsidR="00E15493" w:rsidRPr="00696B5D">
        <w:rPr>
          <w:rFonts w:cstheme="minorHAnsi"/>
          <w:bCs/>
          <w:snapToGrid w:val="0"/>
        </w:rPr>
        <w:t>Türk Telekom Grubu Ü</w:t>
      </w:r>
      <w:r>
        <w:rPr>
          <w:rFonts w:cstheme="minorHAnsi"/>
          <w:bCs/>
          <w:snapToGrid w:val="0"/>
        </w:rPr>
        <w:t xml:space="preserve">çüncü Taraf Güvenlik Politikası, </w:t>
      </w:r>
      <w:r w:rsidR="00E15493" w:rsidRPr="00696B5D">
        <w:rPr>
          <w:rFonts w:cstheme="minorHAnsi"/>
          <w:bCs/>
          <w:snapToGrid w:val="0"/>
        </w:rPr>
        <w:t>Gizlilik Taahhütnamesi</w:t>
      </w:r>
    </w:p>
    <w:p w14:paraId="42980119" w14:textId="455DA254" w:rsidR="0014212D" w:rsidRPr="008E71A0" w:rsidRDefault="0014212D" w:rsidP="0014212D">
      <w:pPr>
        <w:tabs>
          <w:tab w:val="left" w:pos="567"/>
        </w:tabs>
        <w:spacing w:after="0" w:line="240" w:lineRule="auto"/>
        <w:rPr>
          <w:rFonts w:cstheme="minorHAnsi"/>
          <w:bCs/>
          <w:snapToGrid w:val="0"/>
        </w:rPr>
      </w:pPr>
      <w:r>
        <w:rPr>
          <w:rFonts w:cstheme="minorHAnsi"/>
          <w:b/>
          <w:bCs/>
          <w:snapToGrid w:val="0"/>
        </w:rPr>
        <w:t xml:space="preserve">               4- </w:t>
      </w:r>
      <w:r w:rsidRPr="008E71A0">
        <w:rPr>
          <w:rFonts w:cstheme="minorHAnsi"/>
          <w:bCs/>
          <w:snapToGrid w:val="0"/>
        </w:rPr>
        <w:t>Tarafların İmza Sirkülerleri</w:t>
      </w:r>
    </w:p>
    <w:p w14:paraId="231A22EB" w14:textId="77777777" w:rsidR="00A5362D" w:rsidRPr="008E71A0" w:rsidRDefault="00A5362D" w:rsidP="00063763">
      <w:pPr>
        <w:widowControl w:val="0"/>
        <w:spacing w:after="0" w:line="240" w:lineRule="auto"/>
        <w:ind w:firstLine="720"/>
        <w:jc w:val="both"/>
        <w:rPr>
          <w:rFonts w:cstheme="minorHAnsi"/>
          <w:bCs/>
          <w:snapToGrid w:val="0"/>
        </w:rPr>
      </w:pPr>
    </w:p>
    <w:p w14:paraId="2498587D" w14:textId="77777777" w:rsidR="00E15493" w:rsidRPr="00696B5D" w:rsidRDefault="00E15493" w:rsidP="00696B5D">
      <w:pPr>
        <w:widowControl w:val="0"/>
        <w:tabs>
          <w:tab w:val="left" w:pos="709"/>
          <w:tab w:val="left" w:pos="993"/>
        </w:tabs>
        <w:spacing w:after="240" w:line="276" w:lineRule="auto"/>
        <w:jc w:val="both"/>
        <w:rPr>
          <w:rFonts w:eastAsia="Dotum" w:cstheme="minorHAnsi"/>
          <w:b/>
        </w:rPr>
      </w:pPr>
      <w:r w:rsidRPr="00696B5D">
        <w:rPr>
          <w:rFonts w:eastAsia="Dotum" w:cstheme="minorHAnsi"/>
          <w:b/>
        </w:rPr>
        <w:t xml:space="preserve">          TÜRK TELEKOMÜNİKASYON A.Ş.</w:t>
      </w:r>
      <w:r w:rsidRPr="00696B5D">
        <w:rPr>
          <w:rFonts w:eastAsia="Dotum" w:cstheme="minorHAnsi"/>
          <w:b/>
        </w:rPr>
        <w:tab/>
      </w:r>
      <w:r w:rsidRPr="00696B5D">
        <w:rPr>
          <w:rFonts w:eastAsia="Dotum" w:cstheme="minorHAnsi"/>
          <w:b/>
        </w:rPr>
        <w:tab/>
      </w:r>
      <w:r w:rsidRPr="00696B5D">
        <w:rPr>
          <w:rFonts w:eastAsia="Dotum" w:cstheme="minorHAnsi"/>
          <w:b/>
        </w:rPr>
        <w:tab/>
      </w:r>
      <w:r w:rsidRPr="00696B5D">
        <w:rPr>
          <w:rFonts w:eastAsia="Dotum" w:cstheme="minorHAnsi"/>
          <w:b/>
        </w:rPr>
        <w:tab/>
        <w:t xml:space="preserve">                     …..…….YÜKLENİCİ </w:t>
      </w:r>
    </w:p>
    <w:p w14:paraId="00B5DFD1" w14:textId="541AB8AC" w:rsidR="00E15493" w:rsidRPr="00696B5D" w:rsidRDefault="00E15493" w:rsidP="00696B5D">
      <w:pPr>
        <w:spacing w:after="240" w:line="276" w:lineRule="auto"/>
        <w:rPr>
          <w:rFonts w:cstheme="minorHAnsi"/>
          <w:b/>
        </w:rPr>
      </w:pPr>
    </w:p>
    <w:p w14:paraId="5C5804CE" w14:textId="46EF4042" w:rsidR="00E15493" w:rsidRDefault="00E15493" w:rsidP="00696B5D">
      <w:pPr>
        <w:spacing w:after="240" w:line="276" w:lineRule="auto"/>
        <w:rPr>
          <w:rFonts w:cstheme="minorHAnsi"/>
          <w:b/>
        </w:rPr>
      </w:pPr>
    </w:p>
    <w:p w14:paraId="63810049" w14:textId="605DC903" w:rsidR="0014212D" w:rsidRDefault="0014212D" w:rsidP="00696B5D">
      <w:pPr>
        <w:spacing w:after="240" w:line="276" w:lineRule="auto"/>
        <w:rPr>
          <w:rFonts w:cstheme="minorHAnsi"/>
          <w:b/>
        </w:rPr>
      </w:pPr>
    </w:p>
    <w:p w14:paraId="08F55C46" w14:textId="55CB8F64" w:rsidR="0014212D" w:rsidRDefault="0014212D" w:rsidP="00696B5D">
      <w:pPr>
        <w:spacing w:after="240" w:line="276" w:lineRule="auto"/>
        <w:rPr>
          <w:rFonts w:cstheme="minorHAnsi"/>
          <w:b/>
        </w:rPr>
      </w:pPr>
    </w:p>
    <w:p w14:paraId="7D48DB26" w14:textId="059C6DAA" w:rsidR="0014212D" w:rsidRDefault="0014212D" w:rsidP="00696B5D">
      <w:pPr>
        <w:spacing w:after="240" w:line="276" w:lineRule="auto"/>
        <w:rPr>
          <w:rFonts w:cstheme="minorHAnsi"/>
          <w:b/>
        </w:rPr>
      </w:pPr>
    </w:p>
    <w:p w14:paraId="5D27C329" w14:textId="78DD427A" w:rsidR="0014212D" w:rsidRDefault="0014212D" w:rsidP="00696B5D">
      <w:pPr>
        <w:spacing w:after="240" w:line="276" w:lineRule="auto"/>
        <w:rPr>
          <w:rFonts w:cstheme="minorHAnsi"/>
          <w:b/>
        </w:rPr>
      </w:pPr>
    </w:p>
    <w:p w14:paraId="77C088C9" w14:textId="14555B7B" w:rsidR="0014212D" w:rsidRPr="00696B5D" w:rsidRDefault="0014212D" w:rsidP="00696B5D">
      <w:pPr>
        <w:spacing w:after="240" w:line="276" w:lineRule="auto"/>
        <w:rPr>
          <w:rFonts w:cstheme="minorHAnsi"/>
          <w:b/>
        </w:rPr>
      </w:pPr>
    </w:p>
    <w:p w14:paraId="7945A43D" w14:textId="2EB08B8B" w:rsidR="00A57300" w:rsidRPr="00696B5D" w:rsidRDefault="00063763" w:rsidP="008E71A0">
      <w:pPr>
        <w:spacing w:after="240" w:line="276" w:lineRule="auto"/>
        <w:rPr>
          <w:rFonts w:cstheme="minorHAnsi"/>
          <w:b/>
        </w:rPr>
      </w:pPr>
      <w:r>
        <w:rPr>
          <w:rFonts w:cstheme="minorHAnsi"/>
          <w:b/>
        </w:rPr>
        <w:t xml:space="preserve">             </w:t>
      </w:r>
      <w:r w:rsidR="00E15493" w:rsidRPr="00696B5D">
        <w:rPr>
          <w:rFonts w:cstheme="minorHAnsi"/>
          <w:b/>
        </w:rPr>
        <w:t xml:space="preserve">    TTNET A.Ş.</w:t>
      </w:r>
      <w:r w:rsidR="00E15493" w:rsidRPr="00696B5D">
        <w:rPr>
          <w:rFonts w:cstheme="minorHAnsi"/>
          <w:b/>
        </w:rPr>
        <w:tab/>
      </w:r>
      <w:r w:rsidR="00E15493" w:rsidRPr="00696B5D">
        <w:rPr>
          <w:rFonts w:cstheme="minorHAnsi"/>
          <w:b/>
        </w:rPr>
        <w:tab/>
      </w:r>
      <w:r w:rsidR="00E15493" w:rsidRPr="00696B5D">
        <w:rPr>
          <w:rFonts w:cstheme="minorHAnsi"/>
          <w:b/>
        </w:rPr>
        <w:tab/>
      </w:r>
      <w:r w:rsidR="00E15493" w:rsidRPr="00696B5D">
        <w:rPr>
          <w:rFonts w:cstheme="minorHAnsi"/>
          <w:b/>
        </w:rPr>
        <w:tab/>
        <w:t xml:space="preserve">                            </w:t>
      </w:r>
      <w:r w:rsidR="00AF348F" w:rsidRPr="00696B5D">
        <w:rPr>
          <w:rFonts w:cstheme="minorHAnsi"/>
          <w:b/>
        </w:rPr>
        <w:t>TT MOBİL</w:t>
      </w:r>
      <w:r w:rsidR="00E15493" w:rsidRPr="00696B5D">
        <w:rPr>
          <w:rFonts w:cstheme="minorHAnsi"/>
          <w:b/>
        </w:rPr>
        <w:t xml:space="preserve"> İLETİŞİM HİZMETLERİ A.Ş. </w:t>
      </w:r>
    </w:p>
    <w:sectPr w:rsidR="00A57300" w:rsidRPr="00696B5D" w:rsidSect="00977C70">
      <w:footerReference w:type="default" r:id="rId11"/>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865F7" w16cid:durableId="23D61837"/>
  <w16cid:commentId w16cid:paraId="460F7151" w16cid:durableId="23D61838"/>
  <w16cid:commentId w16cid:paraId="6D0160BB" w16cid:durableId="23D61839"/>
  <w16cid:commentId w16cid:paraId="444E2F0F" w16cid:durableId="23D6183C"/>
  <w16cid:commentId w16cid:paraId="6EF45782" w16cid:durableId="23D6183D"/>
  <w16cid:commentId w16cid:paraId="7E28943B" w16cid:durableId="23D6183E"/>
  <w16cid:commentId w16cid:paraId="13FAACC5" w16cid:durableId="23D6183F"/>
  <w16cid:commentId w16cid:paraId="37851892" w16cid:durableId="23D61840"/>
  <w16cid:commentId w16cid:paraId="755D23A3" w16cid:durableId="23D618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418E3" w14:textId="77777777" w:rsidR="00B80E3F" w:rsidRDefault="00B80E3F" w:rsidP="00271F2A">
      <w:pPr>
        <w:spacing w:after="0" w:line="240" w:lineRule="auto"/>
      </w:pPr>
      <w:r>
        <w:separator/>
      </w:r>
    </w:p>
  </w:endnote>
  <w:endnote w:type="continuationSeparator" w:id="0">
    <w:p w14:paraId="4F1235EB" w14:textId="77777777" w:rsidR="00B80E3F" w:rsidRDefault="00B80E3F" w:rsidP="0027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Times New Roman">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29472"/>
      <w:docPartObj>
        <w:docPartGallery w:val="Page Numbers (Bottom of Page)"/>
        <w:docPartUnique/>
      </w:docPartObj>
    </w:sdtPr>
    <w:sdtEndPr/>
    <w:sdtContent>
      <w:p w14:paraId="7E537FEA" w14:textId="5F5F2F54" w:rsidR="003265CE" w:rsidRDefault="003265CE">
        <w:pPr>
          <w:pStyle w:val="Footer"/>
          <w:jc w:val="right"/>
        </w:pPr>
        <w:r>
          <w:fldChar w:fldCharType="begin"/>
        </w:r>
        <w:r>
          <w:instrText>PAGE   \* MERGEFORMAT</w:instrText>
        </w:r>
        <w:r>
          <w:fldChar w:fldCharType="separate"/>
        </w:r>
        <w:r w:rsidR="00F9690C">
          <w:rPr>
            <w:noProof/>
          </w:rPr>
          <w:t>10</w:t>
        </w:r>
        <w:r>
          <w:fldChar w:fldCharType="end"/>
        </w:r>
      </w:p>
    </w:sdtContent>
  </w:sdt>
  <w:p w14:paraId="645F3BED" w14:textId="77777777" w:rsidR="003265CE" w:rsidRDefault="00326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41765" w14:textId="77777777" w:rsidR="00B80E3F" w:rsidRDefault="00B80E3F" w:rsidP="00271F2A">
      <w:pPr>
        <w:spacing w:after="0" w:line="240" w:lineRule="auto"/>
      </w:pPr>
      <w:r>
        <w:separator/>
      </w:r>
    </w:p>
  </w:footnote>
  <w:footnote w:type="continuationSeparator" w:id="0">
    <w:p w14:paraId="1BA5B209" w14:textId="77777777" w:rsidR="00B80E3F" w:rsidRDefault="00B80E3F" w:rsidP="00271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A6C"/>
    <w:multiLevelType w:val="multilevel"/>
    <w:tmpl w:val="7DF6BE52"/>
    <w:lvl w:ilvl="0">
      <w:start w:val="1"/>
      <w:numFmt w:val="decimal"/>
      <w:lvlText w:val="%1."/>
      <w:lvlJc w:val="left"/>
      <w:pPr>
        <w:ind w:left="720" w:hanging="360"/>
      </w:pPr>
      <w:rPr>
        <w:rFonts w:hint="default"/>
        <w:b/>
      </w:rPr>
    </w:lvl>
    <w:lvl w:ilvl="1">
      <w:start w:val="1"/>
      <w:numFmt w:val="decimal"/>
      <w:isLgl/>
      <w:lvlText w:val="%1.%2."/>
      <w:lvlJc w:val="left"/>
      <w:pPr>
        <w:ind w:left="390" w:hanging="390"/>
      </w:pPr>
      <w:rPr>
        <w:rFonts w:ascii="Calibri" w:hAnsi="Calibri" w:cs="Calibri"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8CC2A3A"/>
    <w:multiLevelType w:val="multilevel"/>
    <w:tmpl w:val="79624240"/>
    <w:lvl w:ilvl="0">
      <w:start w:val="17"/>
      <w:numFmt w:val="decimal"/>
      <w:lvlText w:val="%1."/>
      <w:lvlJc w:val="left"/>
      <w:pPr>
        <w:ind w:left="540" w:hanging="540"/>
      </w:pPr>
      <w:rPr>
        <w:rFonts w:eastAsia="Calibri" w:hint="default"/>
        <w:b/>
        <w:color w:val="auto"/>
      </w:rPr>
    </w:lvl>
    <w:lvl w:ilvl="1">
      <w:start w:val="11"/>
      <w:numFmt w:val="decimal"/>
      <w:lvlText w:val="%1.%2."/>
      <w:lvlJc w:val="left"/>
      <w:pPr>
        <w:ind w:left="540" w:hanging="540"/>
      </w:pPr>
      <w:rPr>
        <w:rFonts w:eastAsia="Calibri" w:hint="default"/>
        <w:b/>
        <w:color w:val="auto"/>
      </w:rPr>
    </w:lvl>
    <w:lvl w:ilvl="2">
      <w:start w:val="1"/>
      <w:numFmt w:val="decimal"/>
      <w:lvlText w:val="%1.%2.%3."/>
      <w:lvlJc w:val="left"/>
      <w:pPr>
        <w:ind w:left="720" w:hanging="720"/>
      </w:pPr>
      <w:rPr>
        <w:rFonts w:eastAsia="Calibri" w:hint="default"/>
        <w:b/>
        <w:color w:val="auto"/>
      </w:rPr>
    </w:lvl>
    <w:lvl w:ilvl="3">
      <w:start w:val="1"/>
      <w:numFmt w:val="decimal"/>
      <w:lvlText w:val="%1.%2.%3.%4."/>
      <w:lvlJc w:val="left"/>
      <w:pPr>
        <w:ind w:left="720" w:hanging="720"/>
      </w:pPr>
      <w:rPr>
        <w:rFonts w:eastAsia="Calibri" w:hint="default"/>
        <w:b/>
        <w:color w:val="auto"/>
      </w:rPr>
    </w:lvl>
    <w:lvl w:ilvl="4">
      <w:start w:val="1"/>
      <w:numFmt w:val="decimal"/>
      <w:lvlText w:val="%1.%2.%3.%4.%5."/>
      <w:lvlJc w:val="left"/>
      <w:pPr>
        <w:ind w:left="1080" w:hanging="1080"/>
      </w:pPr>
      <w:rPr>
        <w:rFonts w:eastAsia="Calibri" w:hint="default"/>
        <w:b/>
        <w:color w:val="auto"/>
      </w:rPr>
    </w:lvl>
    <w:lvl w:ilvl="5">
      <w:start w:val="1"/>
      <w:numFmt w:val="decimal"/>
      <w:lvlText w:val="%1.%2.%3.%4.%5.%6."/>
      <w:lvlJc w:val="left"/>
      <w:pPr>
        <w:ind w:left="1080" w:hanging="1080"/>
      </w:pPr>
      <w:rPr>
        <w:rFonts w:eastAsia="Calibri" w:hint="default"/>
        <w:b/>
        <w:color w:val="auto"/>
      </w:rPr>
    </w:lvl>
    <w:lvl w:ilvl="6">
      <w:start w:val="1"/>
      <w:numFmt w:val="decimal"/>
      <w:lvlText w:val="%1.%2.%3.%4.%5.%6.%7."/>
      <w:lvlJc w:val="left"/>
      <w:pPr>
        <w:ind w:left="1440" w:hanging="1440"/>
      </w:pPr>
      <w:rPr>
        <w:rFonts w:eastAsia="Calibri" w:hint="default"/>
        <w:b/>
        <w:color w:val="auto"/>
      </w:rPr>
    </w:lvl>
    <w:lvl w:ilvl="7">
      <w:start w:val="1"/>
      <w:numFmt w:val="decimal"/>
      <w:lvlText w:val="%1.%2.%3.%4.%5.%6.%7.%8."/>
      <w:lvlJc w:val="left"/>
      <w:pPr>
        <w:ind w:left="1440" w:hanging="1440"/>
      </w:pPr>
      <w:rPr>
        <w:rFonts w:eastAsia="Calibri" w:hint="default"/>
        <w:b/>
        <w:color w:val="auto"/>
      </w:rPr>
    </w:lvl>
    <w:lvl w:ilvl="8">
      <w:start w:val="1"/>
      <w:numFmt w:val="decimal"/>
      <w:lvlText w:val="%1.%2.%3.%4.%5.%6.%7.%8.%9."/>
      <w:lvlJc w:val="left"/>
      <w:pPr>
        <w:ind w:left="1800" w:hanging="1800"/>
      </w:pPr>
      <w:rPr>
        <w:rFonts w:eastAsia="Calibri" w:hint="default"/>
        <w:b/>
        <w:color w:val="auto"/>
      </w:rPr>
    </w:lvl>
  </w:abstractNum>
  <w:abstractNum w:abstractNumId="2" w15:restartNumberingAfterBreak="0">
    <w:nsid w:val="0FB00B9B"/>
    <w:multiLevelType w:val="hybridMultilevel"/>
    <w:tmpl w:val="E7AC57AE"/>
    <w:lvl w:ilvl="0" w:tplc="01160304">
      <w:start w:val="19"/>
      <w:numFmt w:val="bullet"/>
      <w:lvlText w:val=""/>
      <w:lvlJc w:val="left"/>
      <w:pPr>
        <w:ind w:left="1584" w:hanging="360"/>
      </w:pPr>
      <w:rPr>
        <w:rFonts w:ascii="Symbol" w:eastAsia="Times New Roman" w:hAnsi="Symbol" w:cs="Times New Roman" w:hint="default"/>
      </w:rPr>
    </w:lvl>
    <w:lvl w:ilvl="1" w:tplc="041F0003" w:tentative="1">
      <w:start w:val="1"/>
      <w:numFmt w:val="bullet"/>
      <w:lvlText w:val="o"/>
      <w:lvlJc w:val="left"/>
      <w:pPr>
        <w:ind w:left="2304" w:hanging="360"/>
      </w:pPr>
      <w:rPr>
        <w:rFonts w:ascii="Courier New" w:hAnsi="Courier New" w:cs="Courier New" w:hint="default"/>
      </w:rPr>
    </w:lvl>
    <w:lvl w:ilvl="2" w:tplc="041F0005" w:tentative="1">
      <w:start w:val="1"/>
      <w:numFmt w:val="bullet"/>
      <w:lvlText w:val=""/>
      <w:lvlJc w:val="left"/>
      <w:pPr>
        <w:ind w:left="3024" w:hanging="360"/>
      </w:pPr>
      <w:rPr>
        <w:rFonts w:ascii="Wingdings" w:hAnsi="Wingdings" w:hint="default"/>
      </w:rPr>
    </w:lvl>
    <w:lvl w:ilvl="3" w:tplc="041F0001" w:tentative="1">
      <w:start w:val="1"/>
      <w:numFmt w:val="bullet"/>
      <w:lvlText w:val=""/>
      <w:lvlJc w:val="left"/>
      <w:pPr>
        <w:ind w:left="3744" w:hanging="360"/>
      </w:pPr>
      <w:rPr>
        <w:rFonts w:ascii="Symbol" w:hAnsi="Symbol" w:hint="default"/>
      </w:rPr>
    </w:lvl>
    <w:lvl w:ilvl="4" w:tplc="041F0003" w:tentative="1">
      <w:start w:val="1"/>
      <w:numFmt w:val="bullet"/>
      <w:lvlText w:val="o"/>
      <w:lvlJc w:val="left"/>
      <w:pPr>
        <w:ind w:left="4464" w:hanging="360"/>
      </w:pPr>
      <w:rPr>
        <w:rFonts w:ascii="Courier New" w:hAnsi="Courier New" w:cs="Courier New" w:hint="default"/>
      </w:rPr>
    </w:lvl>
    <w:lvl w:ilvl="5" w:tplc="041F0005" w:tentative="1">
      <w:start w:val="1"/>
      <w:numFmt w:val="bullet"/>
      <w:lvlText w:val=""/>
      <w:lvlJc w:val="left"/>
      <w:pPr>
        <w:ind w:left="5184" w:hanging="360"/>
      </w:pPr>
      <w:rPr>
        <w:rFonts w:ascii="Wingdings" w:hAnsi="Wingdings" w:hint="default"/>
      </w:rPr>
    </w:lvl>
    <w:lvl w:ilvl="6" w:tplc="041F0001" w:tentative="1">
      <w:start w:val="1"/>
      <w:numFmt w:val="bullet"/>
      <w:lvlText w:val=""/>
      <w:lvlJc w:val="left"/>
      <w:pPr>
        <w:ind w:left="5904" w:hanging="360"/>
      </w:pPr>
      <w:rPr>
        <w:rFonts w:ascii="Symbol" w:hAnsi="Symbol" w:hint="default"/>
      </w:rPr>
    </w:lvl>
    <w:lvl w:ilvl="7" w:tplc="041F0003" w:tentative="1">
      <w:start w:val="1"/>
      <w:numFmt w:val="bullet"/>
      <w:lvlText w:val="o"/>
      <w:lvlJc w:val="left"/>
      <w:pPr>
        <w:ind w:left="6624" w:hanging="360"/>
      </w:pPr>
      <w:rPr>
        <w:rFonts w:ascii="Courier New" w:hAnsi="Courier New" w:cs="Courier New" w:hint="default"/>
      </w:rPr>
    </w:lvl>
    <w:lvl w:ilvl="8" w:tplc="041F0005" w:tentative="1">
      <w:start w:val="1"/>
      <w:numFmt w:val="bullet"/>
      <w:lvlText w:val=""/>
      <w:lvlJc w:val="left"/>
      <w:pPr>
        <w:ind w:left="7344" w:hanging="360"/>
      </w:pPr>
      <w:rPr>
        <w:rFonts w:ascii="Wingdings" w:hAnsi="Wingdings" w:hint="default"/>
      </w:rPr>
    </w:lvl>
  </w:abstractNum>
  <w:abstractNum w:abstractNumId="3" w15:restartNumberingAfterBreak="0">
    <w:nsid w:val="266B0BAB"/>
    <w:multiLevelType w:val="hybridMultilevel"/>
    <w:tmpl w:val="13D679CC"/>
    <w:lvl w:ilvl="0" w:tplc="23D6108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9997489"/>
    <w:multiLevelType w:val="multilevel"/>
    <w:tmpl w:val="FA9609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2F4D96"/>
    <w:multiLevelType w:val="multilevel"/>
    <w:tmpl w:val="0ADCE6C4"/>
    <w:lvl w:ilvl="0">
      <w:start w:val="7"/>
      <w:numFmt w:val="decimal"/>
      <w:lvlText w:val="%1."/>
      <w:lvlJc w:val="left"/>
      <w:pPr>
        <w:ind w:left="495" w:hanging="495"/>
      </w:pPr>
      <w:rPr>
        <w:rFonts w:hint="default"/>
        <w:b/>
        <w:sz w:val="22"/>
        <w:szCs w:val="22"/>
      </w:rPr>
    </w:lvl>
    <w:lvl w:ilvl="1">
      <w:start w:val="1"/>
      <w:numFmt w:val="decimal"/>
      <w:lvlText w:val="%1.%2."/>
      <w:lvlJc w:val="left"/>
      <w:pPr>
        <w:ind w:left="1288" w:hanging="720"/>
      </w:pPr>
      <w:rPr>
        <w:rFonts w:hint="default"/>
        <w:b/>
        <w:sz w:val="22"/>
        <w:szCs w:val="22"/>
      </w:rPr>
    </w:lvl>
    <w:lvl w:ilvl="2">
      <w:start w:val="1"/>
      <w:numFmt w:val="decimal"/>
      <w:lvlText w:val="%1.%2.%3."/>
      <w:lvlJc w:val="left"/>
      <w:pPr>
        <w:ind w:left="2138" w:hanging="720"/>
      </w:pPr>
      <w:rPr>
        <w:rFonts w:hint="default"/>
        <w:b/>
        <w:sz w:val="22"/>
        <w:szCs w:val="22"/>
      </w:rPr>
    </w:lvl>
    <w:lvl w:ilvl="3">
      <w:start w:val="1"/>
      <w:numFmt w:val="decimal"/>
      <w:lvlText w:val="%1.%2.%3.%4."/>
      <w:lvlJc w:val="left"/>
      <w:pPr>
        <w:ind w:left="3843" w:hanging="1080"/>
      </w:pPr>
      <w:rPr>
        <w:rFonts w:hint="default"/>
        <w:b/>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56C059B1"/>
    <w:multiLevelType w:val="multilevel"/>
    <w:tmpl w:val="4B22E08E"/>
    <w:lvl w:ilvl="0">
      <w:start w:val="20"/>
      <w:numFmt w:val="decimal"/>
      <w:lvlText w:val="%1."/>
      <w:lvlJc w:val="left"/>
      <w:pPr>
        <w:ind w:left="450" w:hanging="450"/>
      </w:pPr>
      <w:rPr>
        <w:rFonts w:hint="default"/>
      </w:rPr>
    </w:lvl>
    <w:lvl w:ilvl="1">
      <w:start w:val="2"/>
      <w:numFmt w:val="decimal"/>
      <w:lvlText w:val="%1.%2."/>
      <w:lvlJc w:val="left"/>
      <w:pPr>
        <w:ind w:left="1425" w:hanging="720"/>
      </w:pPr>
      <w:rPr>
        <w:rFonts w:hint="default"/>
        <w:b/>
      </w:rPr>
    </w:lvl>
    <w:lvl w:ilvl="2">
      <w:start w:val="1"/>
      <w:numFmt w:val="decimal"/>
      <w:lvlText w:val="%1.%2.%3."/>
      <w:lvlJc w:val="left"/>
      <w:pPr>
        <w:ind w:left="2130" w:hanging="720"/>
      </w:pPr>
      <w:rPr>
        <w:rFonts w:asciiTheme="minorHAnsi" w:hAnsiTheme="minorHAnsi" w:cs="Times New Roman" w:hint="default"/>
        <w:b/>
        <w:sz w:val="22"/>
        <w:szCs w:val="22"/>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595608D9"/>
    <w:multiLevelType w:val="multilevel"/>
    <w:tmpl w:val="119CF8F6"/>
    <w:lvl w:ilvl="0">
      <w:start w:val="1"/>
      <w:numFmt w:val="decimal"/>
      <w:lvlText w:val="%1."/>
      <w:lvlJc w:val="left"/>
      <w:pPr>
        <w:ind w:left="360" w:hanging="360"/>
      </w:pPr>
      <w:rPr>
        <w:b/>
      </w:rPr>
    </w:lvl>
    <w:lvl w:ilvl="1">
      <w:start w:val="1"/>
      <w:numFmt w:val="decimal"/>
      <w:lvlText w:val="%1.%2."/>
      <w:lvlJc w:val="left"/>
      <w:pPr>
        <w:ind w:left="716" w:hanging="432"/>
      </w:pPr>
      <w:rPr>
        <w:b/>
        <w:sz w:val="22"/>
        <w:szCs w:val="22"/>
      </w:rPr>
    </w:lvl>
    <w:lvl w:ilvl="2">
      <w:start w:val="1"/>
      <w:numFmt w:val="decimal"/>
      <w:lvlText w:val="%1.%2.%3."/>
      <w:lvlJc w:val="left"/>
      <w:pPr>
        <w:ind w:left="504" w:hanging="504"/>
      </w:pPr>
      <w:rPr>
        <w:b/>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32649B"/>
    <w:multiLevelType w:val="multilevel"/>
    <w:tmpl w:val="E0D03D88"/>
    <w:lvl w:ilvl="0">
      <w:start w:val="5"/>
      <w:numFmt w:val="decimal"/>
      <w:lvlText w:val="%1."/>
      <w:lvlJc w:val="left"/>
      <w:pPr>
        <w:ind w:left="510" w:hanging="510"/>
      </w:pPr>
      <w:rPr>
        <w:rFonts w:hint="default"/>
      </w:rPr>
    </w:lvl>
    <w:lvl w:ilvl="1">
      <w:start w:val="1"/>
      <w:numFmt w:val="decimal"/>
      <w:lvlText w:val="%1.%2."/>
      <w:lvlJc w:val="left"/>
      <w:pPr>
        <w:ind w:left="1295" w:hanging="510"/>
      </w:pPr>
      <w:rPr>
        <w:rFonts w:hint="default"/>
      </w:rPr>
    </w:lvl>
    <w:lvl w:ilvl="2">
      <w:start w:val="1"/>
      <w:numFmt w:val="decimal"/>
      <w:lvlText w:val="%1.%2.%3."/>
      <w:lvlJc w:val="left"/>
      <w:pPr>
        <w:ind w:left="2290"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15:restartNumberingAfterBreak="0">
    <w:nsid w:val="5C7370FC"/>
    <w:multiLevelType w:val="multilevel"/>
    <w:tmpl w:val="8F08BC6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D803001"/>
    <w:multiLevelType w:val="multilevel"/>
    <w:tmpl w:val="FC76F60E"/>
    <w:lvl w:ilvl="0">
      <w:start w:val="8"/>
      <w:numFmt w:val="decimal"/>
      <w:lvlText w:val="%1."/>
      <w:lvlJc w:val="left"/>
      <w:pPr>
        <w:ind w:left="357" w:hanging="357"/>
      </w:pPr>
      <w:rPr>
        <w:rFonts w:ascii="Times New Roman" w:hAnsi="Times New Roman" w:cs="Times New Roman" w:hint="default"/>
      </w:rPr>
    </w:lvl>
    <w:lvl w:ilvl="1">
      <w:start w:val="1"/>
      <w:numFmt w:val="decimal"/>
      <w:suff w:val="space"/>
      <w:lvlText w:val="%1.%2."/>
      <w:lvlJc w:val="left"/>
      <w:pPr>
        <w:ind w:left="1015" w:hanging="357"/>
      </w:pPr>
      <w:rPr>
        <w:rFonts w:cs="Times New Roman" w:hint="default"/>
        <w:b/>
      </w:rPr>
    </w:lvl>
    <w:lvl w:ilvl="2">
      <w:start w:val="1"/>
      <w:numFmt w:val="decimalZero"/>
      <w:lvlText w:val="%1.%2.%3."/>
      <w:lvlJc w:val="left"/>
      <w:pPr>
        <w:ind w:left="1673" w:hanging="357"/>
      </w:pPr>
      <w:rPr>
        <w:rFonts w:cs="Times New Roman" w:hint="default"/>
        <w:b/>
      </w:rPr>
    </w:lvl>
    <w:lvl w:ilvl="3">
      <w:start w:val="1"/>
      <w:numFmt w:val="decimalZero"/>
      <w:lvlText w:val="%1.%2.%3.%4."/>
      <w:lvlJc w:val="left"/>
      <w:pPr>
        <w:ind w:left="2331" w:hanging="357"/>
      </w:pPr>
      <w:rPr>
        <w:rFonts w:cs="Times New Roman" w:hint="default"/>
      </w:rPr>
    </w:lvl>
    <w:lvl w:ilvl="4">
      <w:start w:val="1"/>
      <w:numFmt w:val="decimalZero"/>
      <w:lvlText w:val="%1.%2.%3.%4.%5."/>
      <w:lvlJc w:val="left"/>
      <w:pPr>
        <w:ind w:left="2989" w:hanging="357"/>
      </w:pPr>
      <w:rPr>
        <w:rFonts w:cs="Times New Roman" w:hint="default"/>
      </w:rPr>
    </w:lvl>
    <w:lvl w:ilvl="5">
      <w:start w:val="1"/>
      <w:numFmt w:val="decimal"/>
      <w:lvlText w:val="%1.%2.%3.%4.%5.%6."/>
      <w:lvlJc w:val="left"/>
      <w:pPr>
        <w:ind w:left="3647" w:hanging="357"/>
      </w:pPr>
      <w:rPr>
        <w:rFonts w:cs="Times New Roman" w:hint="default"/>
      </w:rPr>
    </w:lvl>
    <w:lvl w:ilvl="6">
      <w:start w:val="1"/>
      <w:numFmt w:val="decimal"/>
      <w:lvlText w:val="%1.%2.%3.%4.%5.%6.%7."/>
      <w:lvlJc w:val="left"/>
      <w:pPr>
        <w:ind w:left="4305" w:hanging="357"/>
      </w:pPr>
      <w:rPr>
        <w:rFonts w:cs="Times New Roman" w:hint="default"/>
      </w:rPr>
    </w:lvl>
    <w:lvl w:ilvl="7">
      <w:start w:val="1"/>
      <w:numFmt w:val="decimal"/>
      <w:lvlText w:val="%1.%2.%3.%4.%5.%6.%7.%8."/>
      <w:lvlJc w:val="left"/>
      <w:pPr>
        <w:ind w:left="4963" w:hanging="357"/>
      </w:pPr>
      <w:rPr>
        <w:rFonts w:cs="Times New Roman" w:hint="default"/>
      </w:rPr>
    </w:lvl>
    <w:lvl w:ilvl="8">
      <w:start w:val="1"/>
      <w:numFmt w:val="decimal"/>
      <w:lvlText w:val="%1.%2.%3.%4.%5.%6.%7.%8.%9."/>
      <w:lvlJc w:val="left"/>
      <w:pPr>
        <w:ind w:left="5621" w:hanging="357"/>
      </w:pPr>
      <w:rPr>
        <w:rFonts w:cs="Times New Roman" w:hint="default"/>
      </w:rPr>
    </w:lvl>
  </w:abstractNum>
  <w:abstractNum w:abstractNumId="11" w15:restartNumberingAfterBreak="0">
    <w:nsid w:val="63894AD5"/>
    <w:multiLevelType w:val="multilevel"/>
    <w:tmpl w:val="3F365018"/>
    <w:lvl w:ilvl="0">
      <w:start w:val="1"/>
      <w:numFmt w:val="decimal"/>
      <w:lvlText w:val="%1."/>
      <w:lvlJc w:val="left"/>
      <w:pPr>
        <w:ind w:left="360" w:hanging="360"/>
      </w:pPr>
      <w:rPr>
        <w:b/>
        <w:sz w:val="22"/>
        <w:szCs w:val="22"/>
      </w:rPr>
    </w:lvl>
    <w:lvl w:ilvl="1">
      <w:start w:val="1"/>
      <w:numFmt w:val="decimal"/>
      <w:lvlText w:val="%1.%2."/>
      <w:lvlJc w:val="left"/>
      <w:pPr>
        <w:ind w:left="1142" w:hanging="432"/>
      </w:pPr>
      <w:rPr>
        <w:rFonts w:asciiTheme="minorHAnsi" w:hAnsiTheme="minorHAnsi" w:cs="Times New Roman" w:hint="default"/>
        <w:b/>
        <w:sz w:val="22"/>
        <w:szCs w:val="22"/>
      </w:rPr>
    </w:lvl>
    <w:lvl w:ilvl="2">
      <w:start w:val="1"/>
      <w:numFmt w:val="decimal"/>
      <w:lvlText w:val="%1.%2.%3."/>
      <w:lvlJc w:val="left"/>
      <w:pPr>
        <w:ind w:left="1224" w:hanging="504"/>
      </w:pPr>
      <w:rPr>
        <w:rFonts w:asciiTheme="minorHAnsi" w:hAnsiTheme="minorHAnsi" w:cs="Times New Roman" w:hint="default"/>
        <w:b/>
        <w:sz w:val="22"/>
        <w:szCs w:val="22"/>
      </w:rPr>
    </w:lvl>
    <w:lvl w:ilvl="3">
      <w:start w:val="1"/>
      <w:numFmt w:val="lowerRoman"/>
      <w:lvlText w:val="(%4)"/>
      <w:lvlJc w:val="right"/>
      <w:pPr>
        <w:ind w:left="2633" w:hanging="648"/>
      </w:pPr>
      <w:rPr>
        <w:rFonts w:asciiTheme="minorHAnsi" w:eastAsia="Times New Roman" w:hAnsiTheme="minorHAnsi"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2861D5"/>
    <w:multiLevelType w:val="hybridMultilevel"/>
    <w:tmpl w:val="44141A98"/>
    <w:lvl w:ilvl="0" w:tplc="A220565A">
      <w:start w:val="1"/>
      <w:numFmt w:val="lowerLetter"/>
      <w:lvlText w:val="%1)"/>
      <w:lvlJc w:val="left"/>
      <w:pPr>
        <w:ind w:left="1425" w:hanging="705"/>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1B">
      <w:start w:val="1"/>
      <w:numFmt w:val="lowerRoman"/>
      <w:lvlText w:val="%4."/>
      <w:lvlJc w:val="righ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2"/>
  </w:num>
  <w:num w:numId="3">
    <w:abstractNumId w:val="7"/>
  </w:num>
  <w:num w:numId="4">
    <w:abstractNumId w:val="2"/>
  </w:num>
  <w:num w:numId="5">
    <w:abstractNumId w:val="1"/>
  </w:num>
  <w:num w:numId="6">
    <w:abstractNumId w:val="11"/>
  </w:num>
  <w:num w:numId="7">
    <w:abstractNumId w:val="8"/>
  </w:num>
  <w:num w:numId="8">
    <w:abstractNumId w:val="9"/>
  </w:num>
  <w:num w:numId="9">
    <w:abstractNumId w:val="6"/>
  </w:num>
  <w:num w:numId="10">
    <w:abstractNumId w:val="4"/>
  </w:num>
  <w:num w:numId="11">
    <w:abstractNumId w:val="5"/>
  </w:num>
  <w:num w:numId="12">
    <w:abstractNumId w:val="10"/>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35"/>
    <w:rsid w:val="00000570"/>
    <w:rsid w:val="000052F8"/>
    <w:rsid w:val="00006309"/>
    <w:rsid w:val="00035D70"/>
    <w:rsid w:val="0003757F"/>
    <w:rsid w:val="00041256"/>
    <w:rsid w:val="00051AD9"/>
    <w:rsid w:val="000530C8"/>
    <w:rsid w:val="00063763"/>
    <w:rsid w:val="000721CC"/>
    <w:rsid w:val="0008072D"/>
    <w:rsid w:val="00080E37"/>
    <w:rsid w:val="00082655"/>
    <w:rsid w:val="00096D18"/>
    <w:rsid w:val="000A09E7"/>
    <w:rsid w:val="000A23EF"/>
    <w:rsid w:val="000B2159"/>
    <w:rsid w:val="000B3993"/>
    <w:rsid w:val="000D30AC"/>
    <w:rsid w:val="000D4113"/>
    <w:rsid w:val="000D47BB"/>
    <w:rsid w:val="000D731E"/>
    <w:rsid w:val="001000FF"/>
    <w:rsid w:val="00110452"/>
    <w:rsid w:val="00113CF3"/>
    <w:rsid w:val="0011748D"/>
    <w:rsid w:val="001176FA"/>
    <w:rsid w:val="0012344A"/>
    <w:rsid w:val="001308C6"/>
    <w:rsid w:val="00130C8E"/>
    <w:rsid w:val="001323C4"/>
    <w:rsid w:val="001375E5"/>
    <w:rsid w:val="0014212D"/>
    <w:rsid w:val="00147077"/>
    <w:rsid w:val="001472CE"/>
    <w:rsid w:val="00162384"/>
    <w:rsid w:val="00162C31"/>
    <w:rsid w:val="001661BB"/>
    <w:rsid w:val="00166759"/>
    <w:rsid w:val="00170186"/>
    <w:rsid w:val="0017487E"/>
    <w:rsid w:val="00177ADA"/>
    <w:rsid w:val="00187CD4"/>
    <w:rsid w:val="00196774"/>
    <w:rsid w:val="001A17D6"/>
    <w:rsid w:val="001B07F2"/>
    <w:rsid w:val="001B4D9A"/>
    <w:rsid w:val="001C045A"/>
    <w:rsid w:val="001C788D"/>
    <w:rsid w:val="001D739A"/>
    <w:rsid w:val="001E2677"/>
    <w:rsid w:val="001E7A8A"/>
    <w:rsid w:val="001F4D59"/>
    <w:rsid w:val="00205A5A"/>
    <w:rsid w:val="00215849"/>
    <w:rsid w:val="0021775F"/>
    <w:rsid w:val="00222C57"/>
    <w:rsid w:val="00224BFB"/>
    <w:rsid w:val="00225F5B"/>
    <w:rsid w:val="00232014"/>
    <w:rsid w:val="0023796B"/>
    <w:rsid w:val="00243ADA"/>
    <w:rsid w:val="00244D1B"/>
    <w:rsid w:val="00253F2B"/>
    <w:rsid w:val="00254365"/>
    <w:rsid w:val="0026490F"/>
    <w:rsid w:val="00271F2A"/>
    <w:rsid w:val="002B322E"/>
    <w:rsid w:val="002B6333"/>
    <w:rsid w:val="002B7009"/>
    <w:rsid w:val="002C1AC6"/>
    <w:rsid w:val="002D1FBC"/>
    <w:rsid w:val="002E7823"/>
    <w:rsid w:val="002F6693"/>
    <w:rsid w:val="002F721B"/>
    <w:rsid w:val="00300EA5"/>
    <w:rsid w:val="003031C2"/>
    <w:rsid w:val="003067A7"/>
    <w:rsid w:val="00312844"/>
    <w:rsid w:val="0032465A"/>
    <w:rsid w:val="00325470"/>
    <w:rsid w:val="003265CE"/>
    <w:rsid w:val="00326639"/>
    <w:rsid w:val="00330595"/>
    <w:rsid w:val="003329AD"/>
    <w:rsid w:val="00334A4A"/>
    <w:rsid w:val="003366EA"/>
    <w:rsid w:val="003372BE"/>
    <w:rsid w:val="00340183"/>
    <w:rsid w:val="00353740"/>
    <w:rsid w:val="00356CD5"/>
    <w:rsid w:val="003604A2"/>
    <w:rsid w:val="00363B31"/>
    <w:rsid w:val="003648E6"/>
    <w:rsid w:val="003659BB"/>
    <w:rsid w:val="00366981"/>
    <w:rsid w:val="00377095"/>
    <w:rsid w:val="00380884"/>
    <w:rsid w:val="0038603D"/>
    <w:rsid w:val="00392076"/>
    <w:rsid w:val="00392DCF"/>
    <w:rsid w:val="003950DF"/>
    <w:rsid w:val="00396841"/>
    <w:rsid w:val="00397983"/>
    <w:rsid w:val="003B2404"/>
    <w:rsid w:val="003C0547"/>
    <w:rsid w:val="003C2107"/>
    <w:rsid w:val="003D5632"/>
    <w:rsid w:val="003F4F7B"/>
    <w:rsid w:val="0040044E"/>
    <w:rsid w:val="00400BCB"/>
    <w:rsid w:val="0040434C"/>
    <w:rsid w:val="00414798"/>
    <w:rsid w:val="004228D8"/>
    <w:rsid w:val="0043027D"/>
    <w:rsid w:val="0043162D"/>
    <w:rsid w:val="004319B5"/>
    <w:rsid w:val="004341BF"/>
    <w:rsid w:val="00436B55"/>
    <w:rsid w:val="00437C7F"/>
    <w:rsid w:val="0044103A"/>
    <w:rsid w:val="004423AA"/>
    <w:rsid w:val="00442ADB"/>
    <w:rsid w:val="00444E97"/>
    <w:rsid w:val="0044674F"/>
    <w:rsid w:val="00446D10"/>
    <w:rsid w:val="00451047"/>
    <w:rsid w:val="00452098"/>
    <w:rsid w:val="00454401"/>
    <w:rsid w:val="004564B0"/>
    <w:rsid w:val="0045682A"/>
    <w:rsid w:val="00470FF1"/>
    <w:rsid w:val="004732A6"/>
    <w:rsid w:val="00487BB1"/>
    <w:rsid w:val="00490F1B"/>
    <w:rsid w:val="004A169C"/>
    <w:rsid w:val="004A1EF7"/>
    <w:rsid w:val="004B085D"/>
    <w:rsid w:val="004B0B86"/>
    <w:rsid w:val="004B1A11"/>
    <w:rsid w:val="004D1473"/>
    <w:rsid w:val="004E3CB4"/>
    <w:rsid w:val="004F7481"/>
    <w:rsid w:val="00500061"/>
    <w:rsid w:val="00506713"/>
    <w:rsid w:val="00507DD2"/>
    <w:rsid w:val="005156FF"/>
    <w:rsid w:val="005170BE"/>
    <w:rsid w:val="0053381C"/>
    <w:rsid w:val="005343AE"/>
    <w:rsid w:val="005479ED"/>
    <w:rsid w:val="0055500C"/>
    <w:rsid w:val="0056144E"/>
    <w:rsid w:val="005657FF"/>
    <w:rsid w:val="0057078C"/>
    <w:rsid w:val="00573FFD"/>
    <w:rsid w:val="0057462B"/>
    <w:rsid w:val="0057784D"/>
    <w:rsid w:val="00577A28"/>
    <w:rsid w:val="00577E4D"/>
    <w:rsid w:val="0058351E"/>
    <w:rsid w:val="00594B2F"/>
    <w:rsid w:val="005A0013"/>
    <w:rsid w:val="005A46B0"/>
    <w:rsid w:val="005B2323"/>
    <w:rsid w:val="005B38A8"/>
    <w:rsid w:val="005C6745"/>
    <w:rsid w:val="005C71D5"/>
    <w:rsid w:val="005D07D7"/>
    <w:rsid w:val="005D4BC4"/>
    <w:rsid w:val="005E4660"/>
    <w:rsid w:val="005E4AA3"/>
    <w:rsid w:val="005E7758"/>
    <w:rsid w:val="006041D3"/>
    <w:rsid w:val="00620A90"/>
    <w:rsid w:val="006234CE"/>
    <w:rsid w:val="0063394F"/>
    <w:rsid w:val="00636FF8"/>
    <w:rsid w:val="006415E6"/>
    <w:rsid w:val="0064194C"/>
    <w:rsid w:val="006422DC"/>
    <w:rsid w:val="00642A9E"/>
    <w:rsid w:val="00651D60"/>
    <w:rsid w:val="00661C62"/>
    <w:rsid w:val="006659C6"/>
    <w:rsid w:val="006705F8"/>
    <w:rsid w:val="0067259F"/>
    <w:rsid w:val="00675B08"/>
    <w:rsid w:val="00686D44"/>
    <w:rsid w:val="006902A6"/>
    <w:rsid w:val="0069200F"/>
    <w:rsid w:val="00692D05"/>
    <w:rsid w:val="00694DBB"/>
    <w:rsid w:val="00696B5D"/>
    <w:rsid w:val="006A2F5C"/>
    <w:rsid w:val="006A5F66"/>
    <w:rsid w:val="006C78AD"/>
    <w:rsid w:val="006D28F1"/>
    <w:rsid w:val="006E145F"/>
    <w:rsid w:val="006E43C6"/>
    <w:rsid w:val="006F2667"/>
    <w:rsid w:val="006F4E6A"/>
    <w:rsid w:val="006F60A3"/>
    <w:rsid w:val="00707296"/>
    <w:rsid w:val="00713335"/>
    <w:rsid w:val="007138E3"/>
    <w:rsid w:val="00716E7C"/>
    <w:rsid w:val="00731CA0"/>
    <w:rsid w:val="00734A66"/>
    <w:rsid w:val="00751FAD"/>
    <w:rsid w:val="0075622D"/>
    <w:rsid w:val="007718A1"/>
    <w:rsid w:val="0077372E"/>
    <w:rsid w:val="0077612A"/>
    <w:rsid w:val="007804DC"/>
    <w:rsid w:val="007847B4"/>
    <w:rsid w:val="00786704"/>
    <w:rsid w:val="0079546D"/>
    <w:rsid w:val="007A6836"/>
    <w:rsid w:val="007A7A01"/>
    <w:rsid w:val="007D60A7"/>
    <w:rsid w:val="007F24A5"/>
    <w:rsid w:val="007F274B"/>
    <w:rsid w:val="007F4842"/>
    <w:rsid w:val="00816A45"/>
    <w:rsid w:val="00825A2A"/>
    <w:rsid w:val="00840F3E"/>
    <w:rsid w:val="00842190"/>
    <w:rsid w:val="00861318"/>
    <w:rsid w:val="00872BA8"/>
    <w:rsid w:val="00874EAC"/>
    <w:rsid w:val="008774D5"/>
    <w:rsid w:val="00887CD2"/>
    <w:rsid w:val="00890F64"/>
    <w:rsid w:val="008A1B94"/>
    <w:rsid w:val="008A782B"/>
    <w:rsid w:val="008B39D7"/>
    <w:rsid w:val="008C200D"/>
    <w:rsid w:val="008D12CC"/>
    <w:rsid w:val="008D45CB"/>
    <w:rsid w:val="008D4CA6"/>
    <w:rsid w:val="008E71A0"/>
    <w:rsid w:val="008F7499"/>
    <w:rsid w:val="00912ACA"/>
    <w:rsid w:val="0091752B"/>
    <w:rsid w:val="00923ECB"/>
    <w:rsid w:val="00935387"/>
    <w:rsid w:val="0093689B"/>
    <w:rsid w:val="00941553"/>
    <w:rsid w:val="00941CC0"/>
    <w:rsid w:val="00945794"/>
    <w:rsid w:val="00951F6C"/>
    <w:rsid w:val="009617AE"/>
    <w:rsid w:val="009630BA"/>
    <w:rsid w:val="00963667"/>
    <w:rsid w:val="00977C70"/>
    <w:rsid w:val="00980E04"/>
    <w:rsid w:val="00981A80"/>
    <w:rsid w:val="00982791"/>
    <w:rsid w:val="00982CD1"/>
    <w:rsid w:val="009838DC"/>
    <w:rsid w:val="00987F05"/>
    <w:rsid w:val="00997A0E"/>
    <w:rsid w:val="009C1542"/>
    <w:rsid w:val="009C544D"/>
    <w:rsid w:val="009D30D3"/>
    <w:rsid w:val="009D4BEF"/>
    <w:rsid w:val="009E5DF9"/>
    <w:rsid w:val="009F0F37"/>
    <w:rsid w:val="00A0583D"/>
    <w:rsid w:val="00A13D98"/>
    <w:rsid w:val="00A269B0"/>
    <w:rsid w:val="00A363A0"/>
    <w:rsid w:val="00A46FEA"/>
    <w:rsid w:val="00A508D1"/>
    <w:rsid w:val="00A5362D"/>
    <w:rsid w:val="00A57300"/>
    <w:rsid w:val="00A64E70"/>
    <w:rsid w:val="00A71784"/>
    <w:rsid w:val="00A74324"/>
    <w:rsid w:val="00A7457B"/>
    <w:rsid w:val="00A8002E"/>
    <w:rsid w:val="00A907B6"/>
    <w:rsid w:val="00A970C0"/>
    <w:rsid w:val="00A97F74"/>
    <w:rsid w:val="00AA20B7"/>
    <w:rsid w:val="00AA4D19"/>
    <w:rsid w:val="00AC2AC9"/>
    <w:rsid w:val="00AD07C8"/>
    <w:rsid w:val="00AE0D93"/>
    <w:rsid w:val="00AE19C6"/>
    <w:rsid w:val="00AE3B49"/>
    <w:rsid w:val="00AE5E95"/>
    <w:rsid w:val="00AE6446"/>
    <w:rsid w:val="00AE7E97"/>
    <w:rsid w:val="00AF348F"/>
    <w:rsid w:val="00AF3498"/>
    <w:rsid w:val="00AF3E2E"/>
    <w:rsid w:val="00AF6B67"/>
    <w:rsid w:val="00AF7B07"/>
    <w:rsid w:val="00B049AE"/>
    <w:rsid w:val="00B06C9A"/>
    <w:rsid w:val="00B2340C"/>
    <w:rsid w:val="00B320FB"/>
    <w:rsid w:val="00B329E3"/>
    <w:rsid w:val="00B36EB7"/>
    <w:rsid w:val="00B4323E"/>
    <w:rsid w:val="00B539FB"/>
    <w:rsid w:val="00B55087"/>
    <w:rsid w:val="00B571F0"/>
    <w:rsid w:val="00B617B7"/>
    <w:rsid w:val="00B71F85"/>
    <w:rsid w:val="00B76C8E"/>
    <w:rsid w:val="00B7782B"/>
    <w:rsid w:val="00B80E3F"/>
    <w:rsid w:val="00B82CE3"/>
    <w:rsid w:val="00B8791E"/>
    <w:rsid w:val="00B96D97"/>
    <w:rsid w:val="00BA1271"/>
    <w:rsid w:val="00BA393D"/>
    <w:rsid w:val="00BB1B48"/>
    <w:rsid w:val="00BB6424"/>
    <w:rsid w:val="00BC0423"/>
    <w:rsid w:val="00BC348E"/>
    <w:rsid w:val="00BC73AA"/>
    <w:rsid w:val="00BD722C"/>
    <w:rsid w:val="00C16552"/>
    <w:rsid w:val="00C2159C"/>
    <w:rsid w:val="00C22970"/>
    <w:rsid w:val="00C22E38"/>
    <w:rsid w:val="00C24002"/>
    <w:rsid w:val="00C34AED"/>
    <w:rsid w:val="00C356D3"/>
    <w:rsid w:val="00C37816"/>
    <w:rsid w:val="00C504D1"/>
    <w:rsid w:val="00C54231"/>
    <w:rsid w:val="00C5441A"/>
    <w:rsid w:val="00C54FB6"/>
    <w:rsid w:val="00C62B23"/>
    <w:rsid w:val="00C64A80"/>
    <w:rsid w:val="00C84C79"/>
    <w:rsid w:val="00C8598C"/>
    <w:rsid w:val="00C962AA"/>
    <w:rsid w:val="00CA186C"/>
    <w:rsid w:val="00CA4B76"/>
    <w:rsid w:val="00CB0563"/>
    <w:rsid w:val="00CB2820"/>
    <w:rsid w:val="00CC0235"/>
    <w:rsid w:val="00CC15B5"/>
    <w:rsid w:val="00CC3018"/>
    <w:rsid w:val="00CC5501"/>
    <w:rsid w:val="00CC786A"/>
    <w:rsid w:val="00CE033B"/>
    <w:rsid w:val="00CF0D7E"/>
    <w:rsid w:val="00D07626"/>
    <w:rsid w:val="00D124AA"/>
    <w:rsid w:val="00D236F5"/>
    <w:rsid w:val="00D25748"/>
    <w:rsid w:val="00D31DCC"/>
    <w:rsid w:val="00D437A6"/>
    <w:rsid w:val="00D46D73"/>
    <w:rsid w:val="00D51BBB"/>
    <w:rsid w:val="00D52452"/>
    <w:rsid w:val="00D5578F"/>
    <w:rsid w:val="00D601EA"/>
    <w:rsid w:val="00D633EB"/>
    <w:rsid w:val="00D72FDD"/>
    <w:rsid w:val="00D81E20"/>
    <w:rsid w:val="00D86F0F"/>
    <w:rsid w:val="00D932A7"/>
    <w:rsid w:val="00D97BFE"/>
    <w:rsid w:val="00DA31D7"/>
    <w:rsid w:val="00DA38DE"/>
    <w:rsid w:val="00DA3A47"/>
    <w:rsid w:val="00DA56F0"/>
    <w:rsid w:val="00DA6B33"/>
    <w:rsid w:val="00DB4DCF"/>
    <w:rsid w:val="00DB5819"/>
    <w:rsid w:val="00DB74D3"/>
    <w:rsid w:val="00DC61D0"/>
    <w:rsid w:val="00DC6657"/>
    <w:rsid w:val="00DD4B4B"/>
    <w:rsid w:val="00DD507E"/>
    <w:rsid w:val="00DE1FAB"/>
    <w:rsid w:val="00DE2F8B"/>
    <w:rsid w:val="00DF0B72"/>
    <w:rsid w:val="00DF5E40"/>
    <w:rsid w:val="00DF71A3"/>
    <w:rsid w:val="00E05F9F"/>
    <w:rsid w:val="00E06CBF"/>
    <w:rsid w:val="00E107E1"/>
    <w:rsid w:val="00E136C3"/>
    <w:rsid w:val="00E15493"/>
    <w:rsid w:val="00E20039"/>
    <w:rsid w:val="00E25223"/>
    <w:rsid w:val="00E31251"/>
    <w:rsid w:val="00E4106E"/>
    <w:rsid w:val="00E43D8B"/>
    <w:rsid w:val="00E45F48"/>
    <w:rsid w:val="00E46AE6"/>
    <w:rsid w:val="00E477F9"/>
    <w:rsid w:val="00E567F2"/>
    <w:rsid w:val="00E57338"/>
    <w:rsid w:val="00E60F98"/>
    <w:rsid w:val="00E64C09"/>
    <w:rsid w:val="00E72760"/>
    <w:rsid w:val="00E74E71"/>
    <w:rsid w:val="00E973EF"/>
    <w:rsid w:val="00EE7803"/>
    <w:rsid w:val="00EF61BD"/>
    <w:rsid w:val="00F11BEA"/>
    <w:rsid w:val="00F230D3"/>
    <w:rsid w:val="00F3178C"/>
    <w:rsid w:val="00F338F7"/>
    <w:rsid w:val="00F41421"/>
    <w:rsid w:val="00F526C7"/>
    <w:rsid w:val="00F534C1"/>
    <w:rsid w:val="00F64203"/>
    <w:rsid w:val="00F73EAA"/>
    <w:rsid w:val="00F73F40"/>
    <w:rsid w:val="00F742F6"/>
    <w:rsid w:val="00F74C31"/>
    <w:rsid w:val="00F74F96"/>
    <w:rsid w:val="00F81F1F"/>
    <w:rsid w:val="00F83073"/>
    <w:rsid w:val="00F83CE6"/>
    <w:rsid w:val="00F84435"/>
    <w:rsid w:val="00F9280C"/>
    <w:rsid w:val="00F9479D"/>
    <w:rsid w:val="00F95E7F"/>
    <w:rsid w:val="00F9690C"/>
    <w:rsid w:val="00F97C47"/>
    <w:rsid w:val="00FA0473"/>
    <w:rsid w:val="00FA1004"/>
    <w:rsid w:val="00FA1722"/>
    <w:rsid w:val="00FA29B8"/>
    <w:rsid w:val="00FA486C"/>
    <w:rsid w:val="00FC40B2"/>
    <w:rsid w:val="00FD243C"/>
    <w:rsid w:val="00FD7373"/>
    <w:rsid w:val="00FE4809"/>
    <w:rsid w:val="00FF0CF0"/>
    <w:rsid w:val="00FF73A8"/>
    <w:rsid w:val="37EEAA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C7CDC"/>
  <w15:docId w15:val="{5EFFB31C-0A39-43F0-BF19-F9CFFBC6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3C"/>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28D8"/>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4228D8"/>
    <w:rPr>
      <w:rFonts w:ascii="Times New Roman" w:eastAsia="Times New Roman" w:hAnsi="Times New Roman" w:cs="Times New Roman"/>
      <w:sz w:val="24"/>
      <w:szCs w:val="24"/>
      <w:lang w:val="tr-TR" w:eastAsia="ar-SA"/>
    </w:rPr>
  </w:style>
  <w:style w:type="paragraph" w:styleId="ListParagraph">
    <w:name w:val="List Paragraph"/>
    <w:basedOn w:val="Normal"/>
    <w:link w:val="ListParagraphChar"/>
    <w:uiPriority w:val="34"/>
    <w:qFormat/>
    <w:rsid w:val="004228D8"/>
    <w:pPr>
      <w:spacing w:after="0" w:line="240" w:lineRule="auto"/>
      <w:ind w:left="708"/>
    </w:pPr>
    <w:rPr>
      <w:rFonts w:ascii="Times New Roman" w:eastAsia="Times New Roman" w:hAnsi="Times New Roman" w:cs="Times New Roman"/>
      <w:sz w:val="24"/>
      <w:szCs w:val="24"/>
      <w:lang w:eastAsia="tr-TR"/>
    </w:rPr>
  </w:style>
  <w:style w:type="paragraph" w:styleId="PlainText">
    <w:name w:val="Plain Text"/>
    <w:basedOn w:val="Normal"/>
    <w:link w:val="PlainTextChar"/>
    <w:uiPriority w:val="99"/>
    <w:unhideWhenUsed/>
    <w:rsid w:val="0079546D"/>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79546D"/>
    <w:rPr>
      <w:rFonts w:ascii="Calibri" w:hAnsi="Calibri" w:cs="Calibri"/>
      <w:lang w:val="tr-TR"/>
    </w:rPr>
  </w:style>
  <w:style w:type="paragraph" w:styleId="BodyText2">
    <w:name w:val="Body Text 2"/>
    <w:basedOn w:val="Normal"/>
    <w:link w:val="BodyText2Char"/>
    <w:uiPriority w:val="99"/>
    <w:unhideWhenUsed/>
    <w:rsid w:val="00035D70"/>
    <w:pPr>
      <w:spacing w:after="120" w:line="480" w:lineRule="auto"/>
    </w:pPr>
  </w:style>
  <w:style w:type="character" w:customStyle="1" w:styleId="BodyText2Char">
    <w:name w:val="Body Text 2 Char"/>
    <w:basedOn w:val="DefaultParagraphFont"/>
    <w:link w:val="BodyText2"/>
    <w:uiPriority w:val="99"/>
    <w:rsid w:val="00035D70"/>
  </w:style>
  <w:style w:type="paragraph" w:styleId="CommentText">
    <w:name w:val="annotation text"/>
    <w:basedOn w:val="Normal"/>
    <w:link w:val="CommentTextChar"/>
    <w:rsid w:val="008D4CA6"/>
    <w:pPr>
      <w:spacing w:after="0" w:line="240" w:lineRule="auto"/>
      <w:jc w:val="both"/>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rsid w:val="008D4CA6"/>
    <w:rPr>
      <w:rFonts w:ascii="Times New Roman" w:eastAsia="Times New Roman" w:hAnsi="Times New Roman" w:cs="Times New Roman"/>
      <w:sz w:val="24"/>
      <w:szCs w:val="20"/>
      <w:lang w:val="en-GB"/>
    </w:rPr>
  </w:style>
  <w:style w:type="character" w:styleId="CommentReference">
    <w:name w:val="annotation reference"/>
    <w:uiPriority w:val="99"/>
    <w:unhideWhenUsed/>
    <w:rsid w:val="008D4CA6"/>
    <w:rPr>
      <w:sz w:val="16"/>
      <w:szCs w:val="16"/>
    </w:rPr>
  </w:style>
  <w:style w:type="paragraph" w:styleId="BalloonText">
    <w:name w:val="Balloon Text"/>
    <w:basedOn w:val="Normal"/>
    <w:link w:val="BalloonTextChar"/>
    <w:uiPriority w:val="99"/>
    <w:semiHidden/>
    <w:unhideWhenUsed/>
    <w:rsid w:val="008D4CA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CA6"/>
    <w:rPr>
      <w:rFonts w:ascii="Lucida Grande" w:hAnsi="Lucida Grande" w:cs="Lucida Grande"/>
      <w:sz w:val="18"/>
      <w:szCs w:val="18"/>
    </w:rPr>
  </w:style>
  <w:style w:type="paragraph" w:styleId="BodyTextIndent">
    <w:name w:val="Body Text Indent"/>
    <w:basedOn w:val="Normal"/>
    <w:link w:val="BodyTextIndentChar"/>
    <w:uiPriority w:val="99"/>
    <w:unhideWhenUsed/>
    <w:rsid w:val="00573FFD"/>
    <w:pPr>
      <w:spacing w:after="120"/>
      <w:ind w:left="283"/>
    </w:pPr>
  </w:style>
  <w:style w:type="character" w:customStyle="1" w:styleId="BodyTextIndentChar">
    <w:name w:val="Body Text Indent Char"/>
    <w:basedOn w:val="DefaultParagraphFont"/>
    <w:link w:val="BodyTextIndent"/>
    <w:uiPriority w:val="99"/>
    <w:rsid w:val="00573FFD"/>
  </w:style>
  <w:style w:type="table" w:styleId="TableGrid">
    <w:name w:val="Table Grid"/>
    <w:basedOn w:val="TableNormal"/>
    <w:uiPriority w:val="39"/>
    <w:rsid w:val="00A13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E145F"/>
    <w:pPr>
      <w:spacing w:after="160"/>
      <w:jc w:val="left"/>
    </w:pPr>
    <w:rPr>
      <w:rFonts w:asciiTheme="minorHAnsi" w:eastAsiaTheme="minorHAnsi" w:hAnsiTheme="minorHAnsi" w:cstheme="minorBidi"/>
      <w:b/>
      <w:bCs/>
      <w:sz w:val="20"/>
      <w:lang w:val="en-US"/>
    </w:rPr>
  </w:style>
  <w:style w:type="character" w:customStyle="1" w:styleId="CommentSubjectChar">
    <w:name w:val="Comment Subject Char"/>
    <w:basedOn w:val="CommentTextChar"/>
    <w:link w:val="CommentSubject"/>
    <w:uiPriority w:val="99"/>
    <w:semiHidden/>
    <w:rsid w:val="006E145F"/>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6A2F5C"/>
    <w:rPr>
      <w:b/>
      <w:bCs/>
    </w:rPr>
  </w:style>
  <w:style w:type="paragraph" w:styleId="Header">
    <w:name w:val="header"/>
    <w:basedOn w:val="Normal"/>
    <w:link w:val="HeaderChar"/>
    <w:uiPriority w:val="99"/>
    <w:unhideWhenUsed/>
    <w:rsid w:val="00271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F2A"/>
  </w:style>
  <w:style w:type="paragraph" w:styleId="Footer">
    <w:name w:val="footer"/>
    <w:basedOn w:val="Normal"/>
    <w:link w:val="FooterChar"/>
    <w:uiPriority w:val="99"/>
    <w:unhideWhenUsed/>
    <w:rsid w:val="00271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F2A"/>
  </w:style>
  <w:style w:type="character" w:customStyle="1" w:styleId="ListParagraphChar">
    <w:name w:val="List Paragraph Char"/>
    <w:basedOn w:val="DefaultParagraphFont"/>
    <w:link w:val="ListParagraph"/>
    <w:uiPriority w:val="34"/>
    <w:rsid w:val="00AF6B67"/>
    <w:rPr>
      <w:rFonts w:ascii="Times New Roman" w:eastAsia="Times New Roman" w:hAnsi="Times New Roman" w:cs="Times New Roman"/>
      <w:sz w:val="24"/>
      <w:szCs w:val="24"/>
      <w:lang w:val="tr-TR" w:eastAsia="tr-TR"/>
    </w:rPr>
  </w:style>
  <w:style w:type="character" w:styleId="PlaceholderText">
    <w:name w:val="Placeholder Text"/>
    <w:basedOn w:val="DefaultParagraphFont"/>
    <w:uiPriority w:val="99"/>
    <w:semiHidden/>
    <w:rsid w:val="00E15493"/>
  </w:style>
  <w:style w:type="paragraph" w:styleId="Revision">
    <w:name w:val="Revision"/>
    <w:hidden/>
    <w:uiPriority w:val="99"/>
    <w:semiHidden/>
    <w:rsid w:val="00E15493"/>
    <w:pPr>
      <w:spacing w:after="0" w:line="240" w:lineRule="auto"/>
    </w:pPr>
    <w:rPr>
      <w:lang w:val="tr-TR"/>
    </w:rPr>
  </w:style>
  <w:style w:type="paragraph" w:customStyle="1" w:styleId="Default">
    <w:name w:val="Default"/>
    <w:rsid w:val="00C22E38"/>
    <w:pPr>
      <w:autoSpaceDE w:val="0"/>
      <w:autoSpaceDN w:val="0"/>
      <w:adjustRightInd w:val="0"/>
      <w:spacing w:after="0" w:line="240" w:lineRule="auto"/>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1376">
      <w:bodyDiv w:val="1"/>
      <w:marLeft w:val="0"/>
      <w:marRight w:val="0"/>
      <w:marTop w:val="0"/>
      <w:marBottom w:val="0"/>
      <w:divBdr>
        <w:top w:val="none" w:sz="0" w:space="0" w:color="auto"/>
        <w:left w:val="none" w:sz="0" w:space="0" w:color="auto"/>
        <w:bottom w:val="none" w:sz="0" w:space="0" w:color="auto"/>
        <w:right w:val="none" w:sz="0" w:space="0" w:color="auto"/>
      </w:divBdr>
    </w:div>
    <w:div w:id="8341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D7000633BF0BBC4AAEC04DC4F48488A8" ma:contentTypeVersion="1" ma:contentTypeDescription="Yeni belge oluşturun." ma:contentTypeScope="" ma:versionID="d051575eb904314823a6ad6adb39f036">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9E267-DA82-4537-9C1F-79182A57790B}"/>
</file>

<file path=customXml/itemProps2.xml><?xml version="1.0" encoding="utf-8"?>
<ds:datastoreItem xmlns:ds="http://schemas.openxmlformats.org/officeDocument/2006/customXml" ds:itemID="{48707AD1-4D2B-4CB2-ABD8-3656A30F0C6B}"/>
</file>

<file path=customXml/itemProps3.xml><?xml version="1.0" encoding="utf-8"?>
<ds:datastoreItem xmlns:ds="http://schemas.openxmlformats.org/officeDocument/2006/customXml" ds:itemID="{F8E1CAC3-F33A-436B-AFF4-7CEBA112F6B5}"/>
</file>

<file path=customXml/itemProps4.xml><?xml version="1.0" encoding="utf-8"?>
<ds:datastoreItem xmlns:ds="http://schemas.openxmlformats.org/officeDocument/2006/customXml" ds:itemID="{35DFEFD0-01B5-4393-AA53-B47B9716CE1C}"/>
</file>

<file path=docProps/app.xml><?xml version="1.0" encoding="utf-8"?>
<Properties xmlns="http://schemas.openxmlformats.org/officeDocument/2006/extended-properties" xmlns:vt="http://schemas.openxmlformats.org/officeDocument/2006/docPropsVTypes">
  <Template>Normal</Template>
  <TotalTime>1</TotalTime>
  <Pages>23</Pages>
  <Words>9592</Words>
  <Characters>54676</Characters>
  <Application>Microsoft Office Word</Application>
  <DocSecurity>0</DocSecurity>
  <Lines>455</Lines>
  <Paragraphs>128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Avea İletişim Hizmetleri A.Ş.</Company>
  <LinksUpToDate>false</LinksUpToDate>
  <CharactersWithSpaces>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Özkan</dc:creator>
  <cp:keywords/>
  <dc:description/>
  <cp:lastModifiedBy>Derya Kaymak Kemal</cp:lastModifiedBy>
  <cp:revision>3</cp:revision>
  <dcterms:created xsi:type="dcterms:W3CDTF">2021-03-03T10:56:00Z</dcterms:created>
  <dcterms:modified xsi:type="dcterms:W3CDTF">2021-03-03T11:07:00Z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0x010100D7000633BF0BBC4AAEC04DC4F48488A8</vt:lpwstr>
  </property>
</Properties>
</file>